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99"/>
          <w:wAfter w:type="dxa" w:w="0"/>
          <w:trHeight w:hRule="atLeast" w:val="169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0a2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0a23" w:rsidRPr="00567993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700000000000003pt;height:88.349999999999994pt;" id="{4751E8EC-6156-48AA-9AC9-2FB33B927C2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40a23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0a2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0a23" w:rsidRPr="004b265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0a2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0a23" w:rsidRPr="004b265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</w:tbl>
    <w:p w:rsidP="006f02c1">
      <w:pPr>
        <w:pStyle w:val="BodyText"/>
        <w:rPr>
          <w:sz w:val="20"/>
          <w:szCs w:val="20"/>
        </w:rPr>
        <w:tabs>
          <w:tab w:leader="none" w:pos="1620" w:val="left"/>
        </w:tabs>
        <w:ind w:left="3402"/>
        <w:spacing w:after="0"/>
        <w:jc w:val="right"/>
      </w:pPr>
      <w:r w:rsidR="006f02c1" w:rsidRPr="006f02c1">
        <w:rPr>
          <w:sz w:val="20"/>
          <w:szCs w:val="20"/>
        </w:rPr>
      </w:r>
    </w:p>
    <w:p w:rsidP="006f02c1">
      <w:pPr>
        <w:pStyle w:val="Normal"/>
        <w:rPr>
          <w:b/>
          <w:sz w:val="24"/>
          <w:szCs w:val="24"/>
        </w:rPr>
        <w:tabs>
          <w:tab w:leader="none" w:pos="2835" w:val="left"/>
        </w:tabs>
        <w:jc w:val="both"/>
      </w:pPr>
      <w:r w:rsidR="00740a23" w:rsidRPr="006465fe">
        <w:rPr>
          <w:sz w:val="24"/>
          <w:szCs w:val="24"/>
          <w:noProof/>
          <w:lang w:eastAsia="en-US"/>
          <w:rFonts w:ascii="Bookman Old Style" w:hAnsi="Bookman Old Style"/>
        </w:rPr>
        <w:pict>
          <v:line id="_x0000_s1027" type="#_x0000_t20" style="position:absolute;mso-position-vertical-relative:page;" from="-1.95pt,167.25pt" to="505.80000000000001pt,167.25pt" strokeweight="5.000000pt">
            <v:stroke linestyle="thickThin"/>
          </v:line>
        </w:pict>
      </w:r>
      <w:r w:rsidR="006f02c1" w:rsidRPr="006f02c1">
        <w:rPr>
          <w:b/>
          <w:sz w:val="24"/>
          <w:szCs w:val="24"/>
        </w:rPr>
      </w:r>
    </w:p>
    <w:p w:rsidP="00682094">
      <w:pPr>
        <w:pStyle w:val="Normal"/>
        <w:rPr>
          <w:b/>
          <w:sz w:val="36"/>
          <w:szCs w:val="36"/>
        </w:rPr>
        <w:jc w:val="center"/>
      </w:pPr>
      <w:r w:rsidR="00682094" w:rsidRPr="003b764e">
        <w:rPr>
          <w:b/>
          <w:sz w:val="36"/>
          <w:szCs w:val="36"/>
        </w:rPr>
        <w:t xml:space="preserve">РЕШЕНИЕ</w:t>
      </w:r>
      <w:r w:rsidR="00682094">
        <w:rPr>
          <w:b/>
          <w:sz w:val="36"/>
          <w:szCs w:val="36"/>
        </w:rPr>
      </w:r>
    </w:p>
    <w:p w:rsidP="00682094">
      <w:pPr>
        <w:pStyle w:val="Normal"/>
        <w:rPr>
          <w:b/>
          <w:sz w:val="28"/>
          <w:szCs w:val="28"/>
        </w:rPr>
        <w:jc w:val="center"/>
      </w:pPr>
      <w:r w:rsidR="00682094" w:rsidRPr="006722ea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740a23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740a23">
              <w:t xml:space="preserve">о</w:t>
            </w:r>
            <w:r w:rsidR="00682094" w:rsidRPr="00a15566">
              <w:t xml:space="preserve">т</w:t>
            </w:r>
            <w:r w:rsidR="00740a23">
              <w:t xml:space="preserve"> 25.02.2016 </w:t>
            </w:r>
            <w:r w:rsidR="00682094" w:rsidRPr="00a15566">
              <w:t xml:space="preserve">№</w:t>
            </w:r>
            <w:r w:rsidR="00682094">
              <w:t xml:space="preserve"> </w:t>
            </w:r>
            <w:r w:rsidR="00740a23">
              <w:t xml:space="preserve">923</w:t>
            </w:r>
            <w:r w:rsidR="00682094">
              <w:t xml:space="preserve">-р</w:t>
            </w:r>
            <w:r w:rsidR="00682094" w:rsidRPr="003c5a68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6f02c1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740a23">
              <w:t xml:space="preserve">43</w:t>
            </w:r>
            <w:r w:rsidR="00156765">
              <w:t xml:space="preserve">-я </w:t>
            </w:r>
            <w:r w:rsidR="00682094" w:rsidRPr="00a1556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5e522f">
            <w:pPr>
              <w:pStyle w:val="BodyText"/>
              <w:rPr>
                <w:sz w:val="22"/>
                <w:szCs w:val="22"/>
              </w:rPr>
              <w:suppressOverlap/>
              <w:framePr w:hAnchor="text" w:hSpace="180" w:vAnchor="text" w:wrap="around" w:x="108" w:y="1"/>
              <w:spacing w:after="0"/>
              <w:jc w:val="center"/>
            </w:pPr>
            <w:r w:rsidR="00682094" w:rsidRPr="00004200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682094">
      <w:pPr>
        <w:pStyle w:val="Normal"/>
        <w:rPr>
          <w:i/>
          <w:sz w:val="28"/>
          <w:szCs w:val="28"/>
        </w:rPr>
        <w:jc w:val="right"/>
      </w:pPr>
      <w:r w:rsidR="00682094">
        <w:rPr>
          <w:i/>
        </w:rPr>
        <w:br w:clear="all" w:type="textWrapping"/>
      </w:r>
      <w:r w:rsidR="00682094" w:rsidRPr="006722ea">
        <w:rPr>
          <w:i/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204"/>
      </w:tblGrid>
      <w:tr>
        <w:trPr>
          <w:trHeight w:hRule="atLeast" w:val="2795"/>
          <w:wAfter w:type="dxa" w:w="0"/>
          <w:trHeight w:hRule="atLeast" w:val="2795"/>
          <w:wAfter w:type="dxa" w:w="0"/>
        </w:trPr>
        <w:tc>
          <w:tcPr>
            <w:textDirection w:val="lrTb"/>
            <w:vAlign w:val="top"/>
            <w:tcW w:type="dxa" w:w="62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3df3">
            <w:pPr>
              <w:pStyle w:val="Normal"/>
              <w:rPr>
                <w:sz w:val="28"/>
                <w:szCs w:val="28"/>
              </w:rPr>
              <w:jc w:val="both"/>
            </w:pPr>
            <w:r w:rsidR="00682094" w:rsidRPr="009d26ae">
              <w:rPr>
                <w:sz w:val="28"/>
                <w:szCs w:val="28"/>
              </w:rPr>
              <w:t xml:space="preserve">О </w:t>
            </w:r>
            <w:r w:rsidR="00682094">
              <w:rPr>
                <w:sz w:val="28"/>
                <w:szCs w:val="28"/>
              </w:rPr>
              <w:t xml:space="preserve">внесении изменени</w:t>
            </w:r>
            <w:r w:rsidR="00ec54be">
              <w:rPr>
                <w:sz w:val="28"/>
                <w:szCs w:val="28"/>
              </w:rPr>
              <w:t xml:space="preserve">й</w:t>
            </w:r>
            <w:r w:rsidR="00682094">
              <w:rPr>
                <w:sz w:val="28"/>
                <w:szCs w:val="28"/>
              </w:rPr>
              <w:t xml:space="preserve"> в р</w:t>
            </w:r>
            <w:r w:rsidR="00682094" w:rsidRPr="00224a08">
              <w:rPr>
                <w:sz w:val="28"/>
                <w:szCs w:val="28"/>
              </w:rPr>
              <w:t xml:space="preserve">ешение </w:t>
            </w:r>
            <w:r w:rsidR="00682094">
              <w:rPr>
                <w:sz w:val="28"/>
                <w:szCs w:val="28"/>
              </w:rPr>
              <w:t xml:space="preserve">           </w:t>
            </w:r>
            <w:r w:rsidR="00682094" w:rsidRPr="00224a08">
              <w:rPr>
                <w:sz w:val="28"/>
                <w:szCs w:val="28"/>
              </w:rPr>
              <w:t xml:space="preserve">Городской Думы Петропавловск-Камчатского городс</w:t>
            </w:r>
            <w:r w:rsidR="00682094">
              <w:rPr>
                <w:sz w:val="28"/>
                <w:szCs w:val="28"/>
              </w:rPr>
              <w:t xml:space="preserve">кого округа</w:t>
            </w:r>
            <w:r w:rsidR="006f02c1">
              <w:rPr>
                <w:sz w:val="28"/>
                <w:szCs w:val="28"/>
              </w:rPr>
              <w:t xml:space="preserve"> </w:t>
            </w:r>
            <w:r w:rsidR="00682094">
              <w:rPr>
                <w:sz w:val="28"/>
                <w:szCs w:val="28"/>
              </w:rPr>
              <w:t xml:space="preserve">от </w:t>
            </w:r>
            <w:r w:rsidR="00682094" w:rsidRPr="00524c40">
              <w:rPr>
                <w:sz w:val="28"/>
                <w:szCs w:val="28"/>
              </w:rPr>
              <w:t xml:space="preserve">25.06.2014 № 513-р</w:t>
            </w:r>
            <w:r w:rsidR="006f02c1">
              <w:rPr>
                <w:sz w:val="28"/>
                <w:szCs w:val="28"/>
              </w:rPr>
              <w:br w:clear="all" w:type="textWrapping"/>
            </w:r>
            <w:r w:rsidR="00682094">
              <w:rPr>
                <w:sz w:val="28"/>
                <w:szCs w:val="28"/>
              </w:rPr>
              <w:t xml:space="preserve">«</w:t>
            </w:r>
            <w:r w:rsidR="00682094" w:rsidRPr="006f12d4">
              <w:rPr>
                <w:sz w:val="28"/>
                <w:bCs/>
                <w:szCs w:val="28"/>
              </w:rPr>
              <w:t xml:space="preserve">О</w:t>
            </w:r>
            <w:r w:rsidR="00682094" w:rsidRPr="006f12d4">
              <w:rPr>
                <w:sz w:val="28"/>
                <w:szCs w:val="28"/>
              </w:rPr>
              <w:t xml:space="preserve"> делегировании депутатов Городской Думы Петропавловск-Камчатского городского округа в состав комиссии </w:t>
            </w:r>
            <w:r w:rsidR="00682094" w:rsidRPr="009f3883">
              <w:rPr>
                <w:sz w:val="28"/>
                <w:szCs w:val="28"/>
              </w:rPr>
              <w:t xml:space="preserve">по размещению нестационарных торговых объектов на территории </w:t>
            </w:r>
            <w:r w:rsidR="00682094" w:rsidRPr="006f12d4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682094">
              <w:rPr>
                <w:sz w:val="28"/>
                <w:szCs w:val="28"/>
              </w:rPr>
              <w:t xml:space="preserve">»</w:t>
            </w:r>
            <w:r w:rsidR="00682094" w:rsidRPr="00d90efe">
              <w:rPr>
                <w:sz w:val="28"/>
                <w:szCs w:val="28"/>
              </w:rPr>
            </w:r>
          </w:p>
        </w:tc>
      </w:tr>
    </w:tbl>
    <w:p w:rsidP="00682094">
      <w:pPr>
        <w:pStyle w:val="Normal"/>
        <w:rPr>
          <w:sz w:val="28"/>
          <w:szCs w:val="28"/>
        </w:rPr>
        <w:ind w:firstLine="709"/>
        <w:jc w:val="both"/>
      </w:pPr>
      <w:r w:rsidR="00cc3df3">
        <w:rPr>
          <w:sz w:val="28"/>
          <w:szCs w:val="28"/>
        </w:rPr>
      </w:r>
    </w:p>
    <w:p w:rsidP="00682094">
      <w:pPr>
        <w:pStyle w:val="Normal"/>
        <w:rPr>
          <w:sz w:val="28"/>
          <w:szCs w:val="28"/>
        </w:rPr>
        <w:ind w:firstLine="709"/>
        <w:jc w:val="both"/>
      </w:pPr>
      <w:r w:rsidR="00682094">
        <w:rPr>
          <w:sz w:val="28"/>
          <w:szCs w:val="28"/>
        </w:rPr>
        <w:t xml:space="preserve">Рассмотрев проект решения </w:t>
      </w:r>
      <w:r w:rsidR="00006dc8" w:rsidRPr="006f12d4">
        <w:rPr>
          <w:sz w:val="28"/>
          <w:szCs w:val="28"/>
        </w:rPr>
        <w:t xml:space="preserve">Городской Думы Петропавловск-Камчатского городского округа</w:t>
      </w:r>
      <w:r w:rsidR="00006dc8">
        <w:rPr>
          <w:sz w:val="28"/>
          <w:szCs w:val="28"/>
        </w:rPr>
        <w:t xml:space="preserve"> «О</w:t>
      </w:r>
      <w:r w:rsidR="00682094" w:rsidRPr="009d26ae">
        <w:rPr>
          <w:sz w:val="28"/>
          <w:szCs w:val="28"/>
        </w:rPr>
        <w:t xml:space="preserve"> </w:t>
      </w:r>
      <w:r w:rsidR="00682094">
        <w:rPr>
          <w:sz w:val="28"/>
          <w:szCs w:val="28"/>
        </w:rPr>
        <w:t xml:space="preserve">внесении изменени</w:t>
      </w:r>
      <w:r w:rsidR="00ec54be">
        <w:rPr>
          <w:sz w:val="28"/>
          <w:szCs w:val="28"/>
        </w:rPr>
        <w:t xml:space="preserve">й</w:t>
      </w:r>
      <w:r w:rsidR="00682094">
        <w:rPr>
          <w:sz w:val="28"/>
          <w:szCs w:val="28"/>
        </w:rPr>
        <w:t xml:space="preserve"> в р</w:t>
      </w:r>
      <w:r w:rsidR="00682094" w:rsidRPr="00224a08">
        <w:rPr>
          <w:sz w:val="28"/>
          <w:szCs w:val="28"/>
        </w:rPr>
        <w:t xml:space="preserve">ешение</w:t>
      </w:r>
      <w:r w:rsidR="00682094">
        <w:rPr>
          <w:sz w:val="28"/>
          <w:szCs w:val="28"/>
        </w:rPr>
        <w:t xml:space="preserve"> </w:t>
      </w:r>
      <w:r w:rsidR="00682094" w:rsidRPr="00224a08">
        <w:rPr>
          <w:sz w:val="28"/>
          <w:szCs w:val="28"/>
        </w:rPr>
        <w:t xml:space="preserve">Городской Думы</w:t>
      </w:r>
      <w:r w:rsidR="00682094">
        <w:rPr>
          <w:sz w:val="28"/>
          <w:szCs w:val="28"/>
        </w:rPr>
        <w:t xml:space="preserve"> </w:t>
      </w:r>
      <w:r w:rsidR="00682094" w:rsidRPr="00224a08">
        <w:rPr>
          <w:sz w:val="28"/>
          <w:szCs w:val="28"/>
        </w:rPr>
        <w:t xml:space="preserve">Петропавловск-Камчатского городс</w:t>
      </w:r>
      <w:r w:rsidR="00682094">
        <w:rPr>
          <w:sz w:val="28"/>
          <w:szCs w:val="28"/>
        </w:rPr>
        <w:t xml:space="preserve">кого округа от </w:t>
      </w:r>
      <w:r w:rsidR="00682094" w:rsidRPr="00524c40">
        <w:rPr>
          <w:sz w:val="28"/>
          <w:szCs w:val="28"/>
        </w:rPr>
        <w:t xml:space="preserve">25.06.2014</w:t>
      </w:r>
      <w:r w:rsidR="00682094">
        <w:rPr>
          <w:sz w:val="28"/>
          <w:szCs w:val="28"/>
        </w:rPr>
        <w:t xml:space="preserve"> </w:t>
      </w:r>
      <w:r w:rsidR="00682094" w:rsidRPr="00524c40">
        <w:rPr>
          <w:sz w:val="28"/>
          <w:szCs w:val="28"/>
        </w:rPr>
        <w:t xml:space="preserve">№</w:t>
      </w:r>
      <w:r w:rsidR="00682094">
        <w:rPr>
          <w:sz w:val="28"/>
          <w:szCs w:val="28"/>
        </w:rPr>
        <w:t xml:space="preserve"> </w:t>
      </w:r>
      <w:r w:rsidR="00682094" w:rsidRPr="00524c40">
        <w:rPr>
          <w:sz w:val="28"/>
          <w:szCs w:val="28"/>
        </w:rPr>
        <w:t xml:space="preserve">513-р</w:t>
      </w:r>
      <w:r w:rsidR="00004200">
        <w:rPr>
          <w:sz w:val="28"/>
          <w:szCs w:val="28"/>
        </w:rPr>
        <w:br w:clear="all" w:type="textWrapping"/>
      </w:r>
      <w:r w:rsidR="00682094">
        <w:rPr>
          <w:sz w:val="28"/>
          <w:szCs w:val="28"/>
        </w:rPr>
        <w:t xml:space="preserve">«</w:t>
      </w:r>
      <w:r w:rsidR="00682094" w:rsidRPr="006f12d4">
        <w:rPr>
          <w:sz w:val="28"/>
          <w:bCs/>
          <w:szCs w:val="28"/>
        </w:rPr>
        <w:t xml:space="preserve">О</w:t>
      </w:r>
      <w:r w:rsidR="00682094" w:rsidRPr="006f12d4">
        <w:rPr>
          <w:sz w:val="28"/>
          <w:szCs w:val="28"/>
        </w:rPr>
        <w:t xml:space="preserve"> делегировании депутатов Городской Думы Петропавловск-Камчатского городского округа в состав комиссии </w:t>
      </w:r>
      <w:r w:rsidR="00682094" w:rsidRPr="009f3883">
        <w:rPr>
          <w:sz w:val="28"/>
          <w:szCs w:val="28"/>
        </w:rPr>
        <w:t xml:space="preserve">по размещению нестационарных торговых объектов на территории </w:t>
      </w:r>
      <w:r w:rsidR="00682094" w:rsidRPr="006f12d4">
        <w:rPr>
          <w:sz w:val="28"/>
          <w:szCs w:val="28"/>
        </w:rPr>
        <w:t xml:space="preserve">Петропавловск-Камчатского городского округа</w:t>
      </w:r>
      <w:r w:rsidR="00682094">
        <w:rPr>
          <w:sz w:val="28"/>
          <w:szCs w:val="28"/>
        </w:rPr>
        <w:t xml:space="preserve">», внесенный </w:t>
      </w:r>
      <w:r w:rsidR="00682094" w:rsidRPr="00cd0f68">
        <w:rPr>
          <w:sz w:val="28"/>
          <w:szCs w:val="28"/>
        </w:rPr>
        <w:t xml:space="preserve">Главой Петропавловск-Камчатского городского округа Слыщенко К.Г.</w:t>
      </w:r>
      <w:r w:rsidR="006f02c1">
        <w:rPr>
          <w:sz w:val="28"/>
          <w:szCs w:val="28"/>
        </w:rPr>
        <w:t xml:space="preserve">,</w:t>
        <w:br w:clear="all" w:type="textWrapping"/>
      </w:r>
      <w:r w:rsidR="001a4f57">
        <w:rPr>
          <w:sz w:val="28"/>
          <w:szCs w:val="28"/>
        </w:rPr>
        <w:t xml:space="preserve">в соответствии со</w:t>
      </w:r>
      <w:r w:rsidR="00682094">
        <w:rPr>
          <w:sz w:val="28"/>
          <w:szCs w:val="28"/>
        </w:rPr>
        <w:t xml:space="preserve"> статьей </w:t>
      </w:r>
      <w:r w:rsidR="008e1766">
        <w:rPr>
          <w:sz w:val="28"/>
          <w:szCs w:val="28"/>
        </w:rPr>
        <w:t xml:space="preserve">59 </w:t>
      </w:r>
      <w:r w:rsidR="00682094">
        <w:rPr>
          <w:sz w:val="28"/>
          <w:szCs w:val="28"/>
        </w:rPr>
        <w:t xml:space="preserve">Регламента Городской Думы Петропавловск-Камчатского городского округа, </w:t>
      </w:r>
      <w:r w:rsidR="00682094"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  <w:r w:rsidR="00682094">
        <w:rPr>
          <w:sz w:val="28"/>
          <w:szCs w:val="28"/>
        </w:rPr>
      </w:r>
    </w:p>
    <w:p w:rsidP="00682094">
      <w:pPr>
        <w:pStyle w:val="Normal"/>
        <w:rPr>
          <w:b/>
          <w:sz w:val="28"/>
          <w:szCs w:val="28"/>
        </w:rPr>
      </w:pPr>
      <w:r w:rsidR="00682094">
        <w:rPr>
          <w:b/>
          <w:sz w:val="28"/>
          <w:szCs w:val="28"/>
        </w:rPr>
      </w:r>
    </w:p>
    <w:p w:rsidP="00682094">
      <w:pPr>
        <w:pStyle w:val="Normal"/>
        <w:rPr>
          <w:b/>
          <w:sz w:val="28"/>
          <w:szCs w:val="28"/>
        </w:rPr>
      </w:pPr>
      <w:r w:rsidR="00682094" w:rsidRPr="002c52a3">
        <w:rPr>
          <w:b/>
          <w:sz w:val="28"/>
          <w:szCs w:val="28"/>
        </w:rPr>
        <w:t xml:space="preserve">РЕШИЛА:</w:t>
      </w:r>
      <w:r w:rsidR="00682094">
        <w:rPr>
          <w:b/>
          <w:sz w:val="28"/>
          <w:szCs w:val="28"/>
        </w:rPr>
      </w:r>
    </w:p>
    <w:p w:rsidP="0077131b">
      <w:pPr>
        <w:pStyle w:val="Normal"/>
        <w:rPr>
          <w:b/>
          <w:sz w:val="28"/>
          <w:szCs w:val="28"/>
        </w:rPr>
      </w:pPr>
      <w:r w:rsidR="0077131b" w:rsidRPr="0077131b">
        <w:rPr>
          <w:b/>
          <w:sz w:val="28"/>
          <w:szCs w:val="28"/>
        </w:rPr>
      </w:r>
    </w:p>
    <w:p w:rsidP="0077131b">
      <w:pPr>
        <w:pStyle w:val="Normal"/>
        <w:rPr>
          <w:sz w:val="28"/>
          <w:szCs w:val="28"/>
        </w:rPr>
        <w:tabs>
          <w:tab w:leader="none" w:pos="993" w:val="left"/>
        </w:tabs>
        <w:ind w:firstLine="709" w:left="0"/>
        <w:jc w:val="both"/>
        <w:numPr>
          <w:ilvl w:val="0"/>
          <w:numId w:val="1"/>
        </w:numPr>
      </w:pPr>
      <w:r w:rsidR="0077131b" w:rsidRPr="0077131b">
        <w:rPr>
          <w:sz w:val="28"/>
          <w:szCs w:val="28"/>
          <w:rFonts w:eastAsia="Calibri"/>
        </w:rPr>
        <w:t xml:space="preserve">Внести в </w:t>
      </w:r>
      <w:r w:rsidR="0077131b" w:rsidRPr="0077131b">
        <w:rPr>
          <w:sz w:val="28"/>
          <w:szCs w:val="28"/>
        </w:rPr>
        <w:t xml:space="preserve">решение Городской Думы Петропавловск-Камчатского городского округа от 25.06.2014 № 513-р «</w:t>
      </w:r>
      <w:r w:rsidR="0077131b" w:rsidRPr="0077131b">
        <w:rPr>
          <w:sz w:val="28"/>
          <w:bCs/>
          <w:szCs w:val="28"/>
        </w:rPr>
        <w:t xml:space="preserve">О</w:t>
      </w:r>
      <w:r w:rsidR="0077131b" w:rsidRPr="0077131b">
        <w:rPr>
          <w:sz w:val="28"/>
          <w:szCs w:val="28"/>
        </w:rPr>
        <w:t xml:space="preserve"> делегировании депутатов Городской Думы Петропавловск-Камчатского городского округа в состав комиссии по размещению нестационарных торговых объектов на территории Петропавловск-Камчатского городского округа» следующие изменения:</w:t>
      </w:r>
    </w:p>
    <w:p w:rsidP="0077131b">
      <w:pPr>
        <w:pStyle w:val="Normal"/>
        <w:rPr>
          <w:sz w:val="28"/>
          <w:szCs w:val="28"/>
        </w:rPr>
        <w:tabs>
          <w:tab w:leader="none" w:pos="0" w:val="left"/>
          <w:tab w:leader="none" w:pos="1134" w:val="left"/>
        </w:tabs>
        <w:ind w:firstLine="709" w:left="0"/>
        <w:jc w:val="both"/>
        <w:numPr>
          <w:ilvl w:val="0"/>
          <w:numId w:val="3"/>
        </w:numPr>
      </w:pPr>
      <w:r w:rsidR="0077131b" w:rsidRPr="0077131b">
        <w:rPr>
          <w:sz w:val="28"/>
          <w:szCs w:val="28"/>
        </w:rPr>
        <w:t xml:space="preserve">исключить из состава комиссии по размещению нестационарных торговых объектов на территории Петропавловск-Камчатского городского округа: </w:t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376"/>
        <w:gridCol w:w="426"/>
        <w:gridCol w:w="7512"/>
      </w:tblGrid>
      <w:tr>
        <w:tc>
          <w:tcPr>
            <w:textDirection w:val="lrTb"/>
            <w:vAlign w:val="top"/>
            <w:tcW w:type="dxa" w:w="237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sz w:val="28"/>
                <w:szCs w:val="28"/>
              </w:rPr>
              <w:t xml:space="preserve">Сабурова А.Г.</w:t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sz w:val="28"/>
                <w:szCs w:val="28"/>
              </w:rPr>
              <w:t xml:space="preserve">депутата по единому муниципальному избирательному округу</w:t>
            </w:r>
            <w:r w:rsidR="002d34a7" w:rsidRPr="002e7a06">
              <w:rPr>
                <w:rStyle w:val="StGen33"/>
              </w:rPr>
              <w:t xml:space="preserve">; </w:t>
            </w:r>
            <w:r w:rsidR="002d34a7" w:rsidRPr="002e7a06">
              <w:rPr>
                <w:sz w:val="28"/>
                <w:szCs w:val="28"/>
              </w:rPr>
            </w:r>
          </w:p>
        </w:tc>
      </w:tr>
      <w:tr>
        <w:tc>
          <w:tcPr>
            <w:textDirection w:val="lrTb"/>
            <w:vAlign w:val="top"/>
            <w:tcW w:type="dxa" w:w="237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sz w:val="28"/>
                <w:szCs w:val="28"/>
              </w:rPr>
              <w:t xml:space="preserve">Чеботарева К.Ю. </w:t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rStyle w:val="StGen33"/>
              </w:rPr>
              <w:t xml:space="preserve">депутата по избирательному округу № 7;</w:t>
            </w:r>
            <w:r w:rsidR="002d34a7" w:rsidRPr="002e7a06">
              <w:rPr>
                <w:sz w:val="28"/>
                <w:szCs w:val="28"/>
              </w:rPr>
            </w:r>
          </w:p>
        </w:tc>
      </w:tr>
    </w:tbl>
    <w:p w:rsidP="00c469be">
      <w:pPr>
        <w:pStyle w:val="Normal"/>
        <w:rPr>
          <w:sz w:val="28"/>
          <w:szCs w:val="28"/>
        </w:rPr>
        <w:tabs>
          <w:tab w:leader="none" w:pos="0" w:val="left"/>
          <w:tab w:leader="none" w:pos="851" w:val="left"/>
          <w:tab w:leader="none" w:pos="1134" w:val="left"/>
        </w:tabs>
        <w:ind w:firstLine="709" w:left="0"/>
        <w:jc w:val="both"/>
        <w:numPr>
          <w:ilvl w:val="0"/>
          <w:numId w:val="3"/>
        </w:numPr>
      </w:pPr>
      <w:r w:rsidR="0077131b" w:rsidRPr="0077131b">
        <w:rPr>
          <w:sz w:val="28"/>
          <w:szCs w:val="28"/>
        </w:rPr>
        <w:t xml:space="preserve">делегировать в состав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376"/>
        <w:gridCol w:w="426"/>
        <w:gridCol w:w="7512"/>
      </w:tblGrid>
      <w:tr>
        <w:tc>
          <w:tcPr>
            <w:textDirection w:val="lrTb"/>
            <w:vAlign w:val="top"/>
            <w:tcW w:type="dxa" w:w="237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740a23">
              <w:rPr>
                <w:sz w:val="28"/>
                <w:szCs w:val="28"/>
              </w:rPr>
              <w:t xml:space="preserve">Кирносенко А.В.</w:t>
            </w:r>
            <w:r w:rsidR="002d34a7" w:rsidRPr="002e7a0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2d34a7" w:rsidRPr="002e7a06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0a23">
            <w:pPr>
              <w:pStyle w:val="Normal"/>
              <w:rPr>
                <w:sz w:val="28"/>
                <w:szCs w:val="28"/>
              </w:rPr>
              <w:jc w:val="both"/>
            </w:pPr>
            <w:r w:rsidR="00740a23">
              <w:rPr>
                <w:rStyle w:val="StGen33"/>
              </w:rPr>
              <w:t xml:space="preserve">заместителя председателя </w:t>
            </w:r>
            <w:r w:rsidR="00740a23" w:rsidRPr="0077131b">
              <w:rPr>
                <w:sz w:val="28"/>
                <w:szCs w:val="28"/>
              </w:rPr>
              <w:t xml:space="preserve">Городской Думы Петропавловск-Камчатского городского округа</w:t>
            </w:r>
            <w:r w:rsidR="00740a23">
              <w:rPr>
                <w:sz w:val="28"/>
                <w:szCs w:val="28"/>
              </w:rPr>
              <w:t xml:space="preserve">, председателя Комитета</w:t>
              <w:br w:clear="all" w:type="textWrapping"/>
              <w:t xml:space="preserve">по местному самоуправлению и межнациональным отношениям</w:t>
            </w:r>
            <w:r w:rsidR="00740a23">
              <w:rPr>
                <w:rStyle w:val="StGen33"/>
              </w:rPr>
              <w:t xml:space="preserve">;</w:t>
            </w:r>
            <w:r w:rsidR="002d34a7" w:rsidRPr="002e7a06">
              <w:rPr>
                <w:sz w:val="28"/>
                <w:szCs w:val="28"/>
              </w:rPr>
            </w:r>
          </w:p>
        </w:tc>
      </w:tr>
      <w:tr>
        <w:tc>
          <w:tcPr>
            <w:textDirection w:val="lrTb"/>
            <w:vAlign w:val="top"/>
            <w:tcW w:type="dxa" w:w="237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740a23">
              <w:rPr>
                <w:sz w:val="28"/>
                <w:szCs w:val="28"/>
              </w:rPr>
              <w:t xml:space="preserve">Смирнова С.И.</w:t>
            </w:r>
            <w:r w:rsidR="00740a23" w:rsidRPr="002e7a0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7a06">
            <w:pPr>
              <w:pStyle w:val="Normal"/>
              <w:rPr>
                <w:sz w:val="28"/>
                <w:szCs w:val="28"/>
              </w:rPr>
              <w:jc w:val="both"/>
            </w:pPr>
            <w:r w:rsidR="00740a23">
              <w:rPr>
                <w:sz w:val="28"/>
                <w:szCs w:val="28"/>
              </w:rPr>
              <w:t xml:space="preserve">-</w:t>
            </w:r>
            <w:r w:rsidR="00740a23" w:rsidRPr="002e7a0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0a23">
            <w:pPr>
              <w:pStyle w:val="Normal"/>
              <w:rPr>
                <w:rStyle w:val="StGen33"/>
              </w:rPr>
              <w:jc w:val="both"/>
            </w:pPr>
            <w:r w:rsidR="00740a23">
              <w:rPr>
                <w:rStyle w:val="StGen33"/>
              </w:rPr>
              <w:t xml:space="preserve">заместителя председателя </w:t>
            </w:r>
            <w:r w:rsidR="00740a23" w:rsidRPr="0077131b">
              <w:rPr>
                <w:sz w:val="28"/>
                <w:szCs w:val="28"/>
              </w:rPr>
              <w:t xml:space="preserve">Городской Думы Петропавловск-Камчатского городского округа</w:t>
            </w:r>
            <w:r w:rsidR="00740a23">
              <w:rPr>
                <w:sz w:val="28"/>
                <w:szCs w:val="28"/>
              </w:rPr>
              <w:t xml:space="preserve">, председателя Комитета</w:t>
              <w:br w:clear="all" w:type="textWrapping"/>
              <w:t xml:space="preserve">по социальной политике</w:t>
            </w:r>
            <w:r w:rsidR="00740a23">
              <w:rPr>
                <w:rStyle w:val="StGen33"/>
              </w:rPr>
              <w:t xml:space="preserve">.</w:t>
            </w:r>
            <w:r w:rsidR="00740a23" w:rsidRPr="002e7a06">
              <w:rPr>
                <w:rStyle w:val="StGen33"/>
              </w:rPr>
            </w:r>
          </w:p>
        </w:tc>
      </w:tr>
    </w:tbl>
    <w:p w:rsidP="00c469be">
      <w:pPr>
        <w:pStyle w:val="Normal"/>
        <w:rPr>
          <w:sz w:val="28"/>
          <w:szCs w:val="28"/>
        </w:rPr>
        <w:tabs>
          <w:tab w:leader="none" w:pos="709" w:val="left"/>
          <w:tab w:leader="none" w:pos="1134" w:val="left"/>
        </w:tabs>
        <w:ind w:firstLine="709"/>
        <w:jc w:val="both"/>
      </w:pPr>
      <w:r w:rsidR="0077131b" w:rsidRPr="0077131b">
        <w:rPr>
          <w:sz w:val="28"/>
          <w:szCs w:val="28"/>
          <w:rFonts w:eastAsia="Calibri"/>
        </w:rPr>
        <w:t xml:space="preserve">2. </w:t>
      </w:r>
      <w:r w:rsidR="0077131b" w:rsidRPr="0077131b">
        <w:rPr>
          <w:sz w:val="28"/>
          <w:szCs w:val="28"/>
        </w:rPr>
        <w:t xml:space="preserve">Настоящее решение вступает в силу со дня его принятия.</w:t>
      </w:r>
    </w:p>
    <w:p w:rsidP="00c469be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682094">
        <w:rPr>
          <w:sz w:val="28"/>
          <w:szCs w:val="28"/>
        </w:rPr>
      </w:r>
    </w:p>
    <w:p w:rsidP="00682094">
      <w:pPr>
        <w:pStyle w:val="Normal"/>
        <w:rPr>
          <w:sz w:val="28"/>
          <w:szCs w:val="28"/>
        </w:rPr>
        <w:autoSpaceDE w:val="off"/>
        <w:autoSpaceDN w:val="off"/>
      </w:pPr>
      <w:r w:rsidR="0077131b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5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522f">
            <w:pPr>
              <w:pStyle w:val="Normal"/>
              <w:rPr>
                <w:sz w:val="28"/>
                <w:szCs w:val="28"/>
              </w:rPr>
              <w:ind w:right="33"/>
              <w:jc w:val="both"/>
            </w:pPr>
            <w:r w:rsidR="00682094">
              <w:rPr>
                <w:sz w:val="28"/>
                <w:szCs w:val="28"/>
              </w:rPr>
              <w:t xml:space="preserve">Глава </w:t>
            </w:r>
            <w:r w:rsidR="00a56db5">
              <w:rPr>
                <w:sz w:val="28"/>
                <w:szCs w:val="28"/>
              </w:rPr>
              <w:t xml:space="preserve">Петропавловск-Камчатского </w:t>
            </w:r>
            <w:r w:rsidR="00682094" w:rsidRPr="00d90efe">
              <w:rPr>
                <w:sz w:val="28"/>
                <w:szCs w:val="28"/>
              </w:rPr>
              <w:t xml:space="preserve">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522f">
            <w:pPr>
              <w:pStyle w:val="Normal"/>
              <w:rPr>
                <w:sz w:val="28"/>
                <w:szCs w:val="28"/>
              </w:rPr>
              <w:jc w:val="both"/>
            </w:pPr>
            <w:r w:rsidR="00682094" w:rsidRPr="00d90efe">
              <w:rPr>
                <w:sz w:val="28"/>
                <w:szCs w:val="28"/>
              </w:rPr>
            </w:r>
          </w:p>
          <w:p w:rsidP="005e522f">
            <w:pPr>
              <w:pStyle w:val="Normal"/>
              <w:rPr>
                <w:sz w:val="28"/>
                <w:szCs w:val="28"/>
              </w:rPr>
              <w:jc w:val="both"/>
            </w:pPr>
            <w:r w:rsidR="00682094" w:rsidRPr="00d90efe">
              <w:rPr>
                <w:sz w:val="28"/>
                <w:szCs w:val="28"/>
              </w:rPr>
            </w:r>
          </w:p>
          <w:p w:rsidP="005e522f">
            <w:pPr>
              <w:pStyle w:val="Normal"/>
              <w:rPr>
                <w:sz w:val="28"/>
                <w:szCs w:val="28"/>
              </w:rPr>
              <w:jc w:val="both"/>
            </w:pPr>
            <w:r w:rsidR="00682094" w:rsidRPr="00d90efe">
              <w:rPr>
                <w:sz w:val="28"/>
                <w:szCs w:val="28"/>
              </w:rPr>
            </w:r>
          </w:p>
          <w:p w:rsidP="005e522f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682094">
              <w:rPr>
                <w:sz w:val="28"/>
                <w:szCs w:val="28"/>
              </w:rPr>
              <w:t xml:space="preserve">К.Г. Слыщенко</w:t>
            </w:r>
            <w:r w:rsidR="00682094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pStyle w:val="Normal"/>
      </w:pPr>
      <w:r w:rsidR="002b0194"/>
    </w:p>
    <w:sectPr>
      <w:type w:val="nextPage"/>
      <w:pgSz w:h="16838" w:w="11906"/>
      <w:pgMar w:bottom="567" w:footer="720" w:gutter="0" w:header="720" w:left="1134" w:right="567" w:top="567"/>
      <w:cols w:space="708"/>
      <w:docGrid w:linePitch="272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88602c4"/>
    <w:multiLevelType w:val="multilevel"/>
    <w:tmpl w:val="985ef34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1170" w:left="1880"/>
      </w:pPr>
      <w:rPr>
        <w:rFonts w:eastAsia="Calibri"/>
      </w:rPr>
    </w:lvl>
    <w:lvl w:ilvl="2">
      <w:start w:val="1"/>
      <w:numFmt w:val="decimal"/>
      <w:suff w:val="tab"/>
      <w:lvlText w:val="%1.%2.%3"/>
      <w:lvlJc w:val="left"/>
      <w:pPr>
        <w:pStyle w:val="Normal"/>
        <w:ind w:hanging="1170" w:left="1878"/>
      </w:pPr>
      <w:rPr>
        <w:rFonts w:eastAsia="Calibri"/>
      </w:rPr>
    </w:lvl>
    <w:lvl w:ilvl="3">
      <w:start w:val="1"/>
      <w:numFmt w:val="decimal"/>
      <w:suff w:val="tab"/>
      <w:lvlText w:val="%1.%2.%3.%4"/>
      <w:lvlJc w:val="left"/>
      <w:pPr>
        <w:pStyle w:val="Normal"/>
        <w:ind w:hanging="1170" w:left="1878"/>
      </w:pPr>
      <w:rPr>
        <w:rFonts w:eastAsia="Calibri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hanging="1170" w:left="1878"/>
      </w:pPr>
      <w:rPr>
        <w:rFonts w:eastAsia="Calibri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8"/>
      </w:pPr>
      <w:rPr>
        <w:rFonts w:eastAsia="Calibri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8"/>
      </w:pPr>
      <w:rPr>
        <w:rFonts w:eastAsia="Calibri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8"/>
      </w:pPr>
      <w:rPr>
        <w:rFonts w:eastAsia="Calibri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8"/>
      </w:pPr>
      <w:rPr>
        <w:rFonts w:eastAsia="Calibri"/>
      </w:rPr>
    </w:lvl>
  </w:abstractNum>
  <w:abstractNum w:abstractNumId="1">
    <w:nsid w:val="4d753591"/>
    <w:multiLevelType w:val="hybridMultilevel"/>
    <w:tmpl w:val="526aff16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2">
    <w:nsid w:val="520548c7"/>
    <w:multiLevelType w:val="hybridMultilevel"/>
    <w:tmpl w:val="d352808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200"/>
    <w:rsid w:val="00006dc8"/>
    <w:rsid w:val="00156765"/>
    <w:rsid w:val="001a4f57"/>
    <w:rsid w:val="00224a08"/>
    <w:rsid w:val="002b0194"/>
    <w:rsid w:val="002c52a3"/>
    <w:rsid w:val="002d34a7"/>
    <w:rsid w:val="002e7a06"/>
    <w:rsid w:val="003b764e"/>
    <w:rsid w:val="003c5a68"/>
    <w:rsid w:val="004b265d"/>
    <w:rsid w:val="00524c40"/>
    <w:rsid w:val="00567993"/>
    <w:rsid w:val="005e522f"/>
    <w:rsid w:val="006465fe"/>
    <w:rsid w:val="006722ea"/>
    <w:rsid w:val="00682094"/>
    <w:rsid w:val="006965ac"/>
    <w:rsid w:val="006f02c1"/>
    <w:rsid w:val="006f12d4"/>
    <w:rsid w:val="00740a23"/>
    <w:rsid w:val="0077131b"/>
    <w:rsid w:val="008e1766"/>
    <w:rsid w:val="009d26ae"/>
    <w:rsid w:val="009f3883"/>
    <w:rsid w:val="00a15566"/>
    <w:rsid w:val="00a56db5"/>
    <w:rsid w:val="00c469be"/>
    <w:rsid w:val="00cc3df3"/>
    <w:rsid w:val="00cd0f68"/>
    <w:rsid w:val="00d90efe"/>
    <w:rsid w:val="00ec54b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2"/>
    <w:pPr>
      <w:spacing w:after="120"/>
    </w:pPr>
    <w:rPr>
      <w:sz w:val="24"/>
      <w:szCs w:val="24"/>
    </w:rPr>
  </w:style>
  <w:style w:type="character" w:styleId="StGen2">
    <w:name w:val="StGen2"/>
    <w:next w:val="StGen2"/>
    <w:link w:val="BodyText"/>
    <w:rPr>
      <w:sz w:val="24"/>
      <w:szCs w:val="24"/>
      <w:lang w:bidi="ar-SA" w:eastAsia="ru-RU" w:val="ru-RU"/>
    </w:rPr>
  </w:style>
  <w:style w:type="paragraph" w:styleId="StGen8">
    <w:name w:val="StGen8"/>
    <w:next w:val="StGen8"/>
    <w:link w:val="Normal"/>
    <w:rPr>
      <w:lang w:bidi="ar-SA" w:eastAsia="ru-RU" w:val="ru-RU"/>
    </w:rPr>
  </w:style>
  <w:style w:type="paragraph" w:styleId="Acetate">
    <w:name w:val="Acetate"/>
    <w:basedOn w:val="Normal"/>
    <w:next w:val="Acetate"/>
    <w:link w:val="StGen4"/>
    <w:rPr>
      <w:sz w:val="16"/>
      <w:szCs w:val="16"/>
      <w:rFonts w:ascii="Tahoma" w:hAnsi="Tahoma"/>
    </w:rPr>
  </w:style>
  <w:style w:type="character" w:styleId="StGen4">
    <w:name w:val="StGen4"/>
    <w:next w:val="StGen4"/>
    <w:link w:val="Acetate"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33">
    <w:name w:val="StGen33"/>
    <w:next w:val="StGen33"/>
    <w:link w:val="Normal"/>
    <w:rPr>
      <w:sz w:val="22"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