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173"/>
        <w:tblLook w:val="01e0"/>
        <w:tblW w:type="dxa" w:w="10173"/>
        <w:tblOverlap w:val="never"/>
        <w:tblpPr w:horzAnchor="margin" w:leftFromText="180" w:rightFromText="180" w:tblpY="42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trHeight w:hRule="atLeast" w:val="1702"/>
          <w:wAfter w:type="dxa" w:w="0"/>
          <w:trHeight w:hRule="atLeast" w:val="1702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6597F752-2A39-4DCE-9F8C-261E72B66460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01c80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05"/>
          <w:wAfter w:type="dxa" w:w="0"/>
          <w:trHeight w:hRule="atLeast" w:val="405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13"/>
          <w:wAfter w:type="dxa" w:w="0"/>
          <w:trHeight w:hRule="atLeast" w:val="313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5"/>
          <w:wAfter w:type="dxa" w:w="0"/>
          <w:trHeight w:hRule="atLeast" w:val="85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421"/>
              <w:ind w:right="-1"/>
            </w:pPr>
            <w:r w:rsidR="007a56c5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24.75pt,9.0500000000000007pt" to="501.75pt,9.0500000000000007pt" strokeweight="63500">
                  <v:stroke linestyle="thickThin"/>
                </v:line>
              </w:pict>
            </w:r>
            <w:r w:rsidR="00c01c80" w:rsidRPr="00910d2a">
              <w:rPr>
                <w:b/>
                <w:sz w:val="32"/>
                <w:szCs w:val="32"/>
              </w:rPr>
            </w:r>
          </w:p>
        </w:tc>
      </w:tr>
    </w:tbl>
    <w:p w:rsidP="00b21d0f">
      <w:pPr>
        <w:pStyle w:val="Normal"/>
        <w:rPr>
          <w:b/>
          <w:szCs w:val="28"/>
        </w:rPr>
        <w:ind w:right="-1"/>
        <w:jc w:val="center"/>
      </w:pPr>
      <w:r w:rsidR="007a56c5" w:rsidRPr="007a56c5">
        <w:rPr>
          <w:b/>
          <w:szCs w:val="28"/>
        </w:rPr>
      </w:r>
    </w:p>
    <w:p w:rsidP="00b21d0f">
      <w:pPr>
        <w:pStyle w:val="Normal"/>
        <w:rPr>
          <w:b/>
          <w:sz w:val="36"/>
          <w:szCs w:val="36"/>
          <w:lang w:val="en-US"/>
        </w:rPr>
        <w:ind w:right="-1"/>
        <w:jc w:val="center"/>
      </w:pPr>
      <w:r w:rsidR="009e1a33" w:rsidRPr="00e03ebb">
        <w:rPr>
          <w:b/>
          <w:sz w:val="36"/>
          <w:szCs w:val="36"/>
        </w:rPr>
        <w:t xml:space="preserve">РЕШЕНИЕ</w:t>
      </w:r>
      <w:r w:rsidR="00c01c80">
        <w:rPr>
          <w:b/>
          <w:sz w:val="36"/>
          <w:szCs w:val="36"/>
          <w:lang w:val="en-US"/>
        </w:rPr>
      </w:r>
    </w:p>
    <w:p w:rsidP="00b21d0f">
      <w:pPr>
        <w:pStyle w:val="Normal"/>
        <w:rPr>
          <w:b/>
          <w:szCs w:val="28"/>
        </w:rPr>
        <w:ind w:right="-1"/>
        <w:jc w:val="center"/>
      </w:pPr>
      <w:r w:rsidR="00df0ecd" w:rsidRPr="007a56c5">
        <w:rPr>
          <w:b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7a56c5">
            <w:pPr>
              <w:pStyle w:val="BodyText"/>
              <w:rPr>
                <w:sz w:val="24"/>
              </w:rPr>
              <w:ind w:right="-1"/>
              <w:spacing w:after="0"/>
              <w:jc w:val="center"/>
            </w:pPr>
            <w:r w:rsidR="005e3a0e" w:rsidRPr="00d442e8">
              <w:rPr>
                <w:sz w:val="24"/>
              </w:rPr>
              <w:t xml:space="preserve">от</w:t>
            </w:r>
            <w:r w:rsidR="007a56c5">
              <w:rPr>
                <w:sz w:val="24"/>
              </w:rPr>
              <w:t xml:space="preserve"> 23.04.2014 </w:t>
            </w:r>
            <w:r w:rsidR="005e3a0e" w:rsidRPr="00d442e8">
              <w:rPr>
                <w:sz w:val="24"/>
              </w:rPr>
              <w:t xml:space="preserve">№</w:t>
            </w:r>
            <w:r w:rsidR="007a56c5">
              <w:rPr>
                <w:sz w:val="24"/>
              </w:rPr>
              <w:t xml:space="preserve"> 465</w:t>
            </w:r>
            <w:r w:rsidR="005e3a0e" w:rsidRPr="00d442e8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7a56c5">
            <w:pPr>
              <w:pStyle w:val="BodyText"/>
              <w:rPr>
                <w:sz w:val="24"/>
              </w:rPr>
              <w:ind w:right="-1"/>
              <w:spacing w:after="0"/>
              <w:jc w:val="center"/>
            </w:pPr>
            <w:r w:rsidR="007a56c5">
              <w:rPr>
                <w:sz w:val="24"/>
              </w:rPr>
              <w:t xml:space="preserve">14-</w:t>
            </w:r>
            <w:r w:rsidR="00c01c80">
              <w:rPr>
                <w:sz w:val="24"/>
              </w:rPr>
              <w:t xml:space="preserve">я </w:t>
            </w:r>
            <w:r w:rsidR="005e3a0e" w:rsidRPr="00d442e8">
              <w:rPr>
                <w:sz w:val="24"/>
              </w:rPr>
              <w:t xml:space="preserve">се</w:t>
            </w:r>
            <w:r w:rsidR="005e3a0e" w:rsidRPr="00d442e8">
              <w:rPr>
                <w:sz w:val="24"/>
              </w:rPr>
              <w:t xml:space="preserve">с</w:t>
            </w:r>
            <w:r w:rsidR="005e3a0e" w:rsidRPr="00d442e8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b21d0f">
            <w:pPr>
              <w:pStyle w:val="BodyText"/>
              <w:rPr>
                <w:sz w:val="22"/>
              </w:rPr>
              <w:ind w:right="-1"/>
              <w:spacing w:after="0"/>
              <w:jc w:val="center"/>
            </w:pPr>
            <w:r w:rsidR="005e3a0e" w:rsidRPr="00d442e8">
              <w:rPr>
                <w:sz w:val="22"/>
                <w:szCs w:val="22"/>
              </w:rPr>
              <w:t xml:space="preserve">г.Петропавловск-Камчатский</w:t>
            </w:r>
            <w:r w:rsidR="005e3a0e" w:rsidRPr="00d442e8">
              <w:rPr>
                <w:sz w:val="22"/>
              </w:rPr>
            </w:r>
          </w:p>
        </w:tc>
      </w:tr>
    </w:tbl>
    <w:p w:rsidP="00b21d0f">
      <w:pPr>
        <w:pStyle w:val="Normal"/>
        <w:rPr>
          <w:i/>
          <w:szCs w:val="28"/>
        </w:rPr>
        <w:ind w:right="-1"/>
        <w:jc w:val="right"/>
      </w:pPr>
      <w:r w:rsidR="005e3a0e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56c5">
            <w:pPr>
              <w:pStyle w:val="Normal"/>
              <w:rPr>
                <w:szCs w:val="28"/>
              </w:rPr>
              <w:ind w:right="-1"/>
              <w:jc w:val="both"/>
            </w:pPr>
            <w:r w:rsidR="005e3a0e" w:rsidRPr="00d442e8">
              <w:rPr>
                <w:szCs w:val="28"/>
              </w:rPr>
              <w:t xml:space="preserve">О </w:t>
            </w:r>
            <w:r w:rsidR="005e3a0e">
              <w:t xml:space="preserve">принятии решения </w:t>
            </w:r>
            <w:r w:rsidR="00fb527b">
              <w:t xml:space="preserve">о</w:t>
            </w:r>
            <w:r w:rsidR="007e75a6">
              <w:t xml:space="preserve"> внесении изменения</w:t>
            </w:r>
            <w:r w:rsidR="00fb527b" w:rsidRPr="00fb527b">
              <w:t xml:space="preserve"> в Решение Городской Думы Петропавловск-Камчатского городского округа от 18.11.2010</w:t>
            </w:r>
            <w:r w:rsidR="007a56c5">
              <w:t xml:space="preserve">      </w:t>
            </w:r>
            <w:r w:rsidR="0085770d">
              <w:t xml:space="preserve">№ 305</w:t>
            </w:r>
            <w:r w:rsidR="00fb527b" w:rsidRPr="00fb527b">
              <w:t xml:space="preserve">-нд</w:t>
            </w:r>
            <w:r w:rsidR="0085770d">
              <w:t xml:space="preserve"> «О земельном налоге на территории Петропавловск-Камчатского городского округа</w:t>
            </w:r>
            <w:r w:rsidR="00fb527b" w:rsidRPr="00fb527b">
              <w:t xml:space="preserve">»</w:t>
            </w:r>
            <w:r w:rsidR="005e3a0e" w:rsidRPr="00d442e8">
              <w:rPr>
                <w:szCs w:val="28"/>
              </w:rPr>
              <w:t xml:space="preserve"> </w:t>
            </w:r>
          </w:p>
        </w:tc>
      </w:tr>
    </w:tbl>
    <w:p w:rsidP="00b21d0f">
      <w:pPr>
        <w:pStyle w:val="Normal"/>
        <w:rPr>
          <w:sz w:val="30"/>
          <w:szCs w:val="30"/>
        </w:rPr>
        <w:ind w:right="-1"/>
      </w:pPr>
      <w:r w:rsidR="005e3a0e" w:rsidRPr="003e4576">
        <w:rPr>
          <w:sz w:val="30"/>
          <w:szCs w:val="30"/>
        </w:rPr>
      </w:r>
    </w:p>
    <w:p w:rsidP="00b21d0f">
      <w:pPr>
        <w:pStyle w:val="Normal"/>
        <w:ind w:firstLine="720" w:right="-1"/>
        <w:jc w:val="both"/>
      </w:pPr>
      <w:r w:rsidR="005e3a0e" w:rsidRPr="00e9761b">
        <w:rPr>
          <w:szCs w:val="28"/>
        </w:rPr>
        <w:t xml:space="preserve">Рассмотрев </w:t>
      </w:r>
      <w:r w:rsidR="005e3a0e">
        <w:rPr>
          <w:szCs w:val="28"/>
        </w:rPr>
        <w:t xml:space="preserve">проект решения </w:t>
      </w:r>
      <w:r w:rsidR="005e3a0e">
        <w:t xml:space="preserve">о</w:t>
      </w:r>
      <w:r w:rsidR="005e3a0e" w:rsidRPr="00317040">
        <w:t xml:space="preserve"> </w:t>
      </w:r>
      <w:r w:rsidR="007e75a6">
        <w:t xml:space="preserve">внесении изменения</w:t>
      </w:r>
      <w:r w:rsidR="00b93889" w:rsidRPr="00fb527b">
        <w:t xml:space="preserve"> в Решение Городской Думы Петропавловск-Камчатского городского округа от </w:t>
      </w:r>
      <w:r w:rsidR="0085770d">
        <w:t xml:space="preserve">18.11.2010 № 305</w:t>
      </w:r>
      <w:r w:rsidR="00b93889" w:rsidRPr="00fb527b">
        <w:t xml:space="preserve">-нд</w:t>
      </w:r>
      <w:r w:rsidR="00b93889">
        <w:t xml:space="preserve">           </w:t>
      </w:r>
      <w:r w:rsidR="0085770d">
        <w:t xml:space="preserve"> «О земельном налоге на территории Петропавловск-Камчатского городского округа</w:t>
      </w:r>
      <w:r w:rsidR="00b93889" w:rsidRPr="00fb527b">
        <w:t xml:space="preserve">»</w:t>
      </w:r>
      <w:r w:rsidR="005e3a0e">
        <w:rPr>
          <w:szCs w:val="28"/>
        </w:rPr>
        <w:t xml:space="preserve">, </w:t>
      </w:r>
      <w:r w:rsidR="005e3a0e">
        <w:rPr>
          <w:bCs/>
        </w:rPr>
        <w:t xml:space="preserve">внесенный </w:t>
      </w:r>
      <w:r w:rsidR="005e3a0e">
        <w:t xml:space="preserve">Главой администрации Петропавловск-Камчатского городского округа </w:t>
      </w:r>
      <w:r w:rsidR="00fa2b3b">
        <w:t xml:space="preserve">Алексеевым А.В., руководствуясь статьей 1</w:t>
      </w:r>
      <w:r w:rsidR="00252a2f">
        <w:t xml:space="preserve"> Ф</w:t>
      </w:r>
      <w:r w:rsidR="00fa2b3b">
        <w:t xml:space="preserve">едерального закона от 29.11.2012 № 202-ФЗ «</w:t>
      </w:r>
      <w:r w:rsidR="00fa2b3b" w:rsidRPr="00fa2b3b">
        <w:rPr>
          <w:szCs w:val="28"/>
        </w:rPr>
        <w:t xml:space="preserve">О </w:t>
      </w:r>
      <w:r w:rsidR="00fa2b3b">
        <w:rPr>
          <w:szCs w:val="28"/>
        </w:rPr>
        <w:t xml:space="preserve">вне</w:t>
      </w:r>
      <w:r w:rsidR="00c01c80">
        <w:rPr>
          <w:szCs w:val="28"/>
        </w:rPr>
        <w:t xml:space="preserve">сении изменений в часть вторую Н</w:t>
      </w:r>
      <w:r w:rsidR="00fa2b3b">
        <w:rPr>
          <w:szCs w:val="28"/>
        </w:rPr>
        <w:t xml:space="preserve">алогового кодекса Российской Федерации»</w:t>
      </w:r>
      <w:r w:rsidR="00252a2f">
        <w:t xml:space="preserve">, </w:t>
      </w:r>
      <w:r w:rsidR="00c01c80">
        <w:t xml:space="preserve">в соответствии со </w:t>
      </w:r>
      <w:r w:rsidR="00252a2f">
        <w:t xml:space="preserve">статьей </w:t>
      </w:r>
      <w:r w:rsidR="005e3a0e" w:rsidRPr="009d0e47">
        <w:t xml:space="preserve">28 Устава Петропавловск-Ка</w:t>
      </w:r>
      <w:r w:rsidR="005e3a0e" w:rsidRPr="009d0e47">
        <w:t xml:space="preserve">м</w:t>
      </w:r>
      <w:r w:rsidR="005e3a0e" w:rsidRPr="009d0e47">
        <w:t xml:space="preserve">чатского городского округа</w:t>
      </w:r>
      <w:r w:rsidR="00252a2f">
        <w:t xml:space="preserve">, Городская Дума </w:t>
      </w:r>
      <w:r w:rsidR="00252a2f" w:rsidRPr="00283773">
        <w:t xml:space="preserve">Петропавловск</w:t>
      </w:r>
      <w:r w:rsidR="00252a2f">
        <w:t xml:space="preserve">-</w:t>
      </w:r>
      <w:r w:rsidR="00252a2f" w:rsidRPr="00283773">
        <w:t xml:space="preserve">Камчат</w:t>
      </w:r>
      <w:r w:rsidR="00252a2f">
        <w:t xml:space="preserve">ского </w:t>
      </w:r>
      <w:r w:rsidR="00252a2f" w:rsidRPr="00283773">
        <w:t xml:space="preserve">городского о</w:t>
      </w:r>
      <w:r w:rsidR="00252a2f" w:rsidRPr="00283773">
        <w:t xml:space="preserve">к</w:t>
      </w:r>
      <w:r w:rsidR="00252a2f" w:rsidRPr="00283773">
        <w:t xml:space="preserve">руга </w:t>
      </w:r>
    </w:p>
    <w:p w:rsidP="00b21d0f">
      <w:pPr>
        <w:pStyle w:val="Normal"/>
        <w:ind w:right="-1"/>
      </w:pPr>
      <w:r w:rsidR="00252a2f" w:rsidRPr="00517ca3"/>
    </w:p>
    <w:p w:rsidP="00b21d0f">
      <w:pPr>
        <w:pStyle w:val="Normal"/>
        <w:rPr>
          <w:b/>
        </w:rPr>
        <w:ind w:right="-1"/>
      </w:pPr>
      <w:r w:rsidR="005e3a0e" w:rsidRPr="0013567d">
        <w:rPr>
          <w:b/>
        </w:rPr>
        <w:t xml:space="preserve">РЕШИЛА:</w:t>
      </w:r>
    </w:p>
    <w:p w:rsidP="00b21d0f">
      <w:pPr>
        <w:pStyle w:val="Normal"/>
        <w:ind w:right="-1"/>
        <w:jc w:val="center"/>
      </w:pPr>
      <w:r w:rsidR="005e3a0e"/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t xml:space="preserve">1. </w:t>
      </w:r>
      <w:r w:rsidR="005e3a0e">
        <w:rPr>
          <w:szCs w:val="28"/>
        </w:rPr>
        <w:t xml:space="preserve">Принять Решение </w:t>
      </w:r>
      <w:r w:rsidR="006e2bde">
        <w:t xml:space="preserve">о</w:t>
      </w:r>
      <w:r w:rsidR="006e2bde" w:rsidRPr="00317040">
        <w:t xml:space="preserve"> </w:t>
      </w:r>
      <w:r w:rsidR="007e75a6">
        <w:t xml:space="preserve">внесении изменения</w:t>
      </w:r>
      <w:r w:rsidR="007b2941" w:rsidRPr="00fb527b">
        <w:t xml:space="preserve"> в Решение Городской Думы Петропавловск-Камчатского город</w:t>
      </w:r>
      <w:r w:rsidR="00fa2b3b">
        <w:t xml:space="preserve">ского округа от 18.11.2010 № 305</w:t>
      </w:r>
      <w:r w:rsidR="007b2941" w:rsidRPr="00fb527b">
        <w:t xml:space="preserve">-нд</w:t>
      </w:r>
      <w:r w:rsidR="00c01c80">
        <w:t xml:space="preserve">                  </w:t>
      </w:r>
      <w:r w:rsidR="007d007d">
        <w:t xml:space="preserve"> </w:t>
      </w:r>
      <w:r w:rsidR="00fa2b3b">
        <w:t xml:space="preserve">«О земельном налоге на территории Петропавловск-Камчатского городского округа</w:t>
      </w:r>
      <w:r w:rsidR="007b2941" w:rsidRPr="00fb527b">
        <w:t xml:space="preserve">»</w:t>
      </w:r>
      <w:r w:rsidR="005e3a0e">
        <w:rPr>
          <w:szCs w:val="28"/>
        </w:rPr>
        <w:t xml:space="preserve">.</w:t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rPr>
          <w:szCs w:val="28"/>
        </w:rPr>
        <w:t xml:space="preserve">2. Направить принятое Решение Главе Петропавловск-Камчатского городского ок</w:t>
      </w:r>
      <w:r w:rsidR="00c01c80">
        <w:rPr>
          <w:szCs w:val="28"/>
        </w:rPr>
        <w:t xml:space="preserve">руга</w:t>
      </w:r>
      <w:r w:rsidR="005e3a0e">
        <w:rPr>
          <w:szCs w:val="28"/>
        </w:rPr>
        <w:t xml:space="preserve"> для подписания и обнародования.</w:t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7a56c5">
        <w:rPr>
          <w:szCs w:val="28"/>
        </w:rPr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rPr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428"/>
        <w:gridCol w:w="2132"/>
        <w:gridCol w:w="3329"/>
      </w:tblGrid>
      <w:tr>
        <w:trPr>
          <w:trHeight w:hRule="atLeast" w:val="1036"/>
          <w:wAfter w:type="dxa" w:w="0"/>
          <w:trHeight w:hRule="atLeast" w:val="1036"/>
          <w:wAfter w:type="dxa" w:w="0"/>
        </w:trPr>
        <w:tc>
          <w:tcPr>
            <w:textDirection w:val="lrTb"/>
            <w:vAlign w:val="top"/>
            <w:tcW w:type="dxa" w:w="44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  <w:r w:rsidR="005e3a0e" w:rsidRPr="001c4b59"/>
          </w:p>
        </w:tc>
        <w:tc>
          <w:tcPr>
            <w:textDirection w:val="lrTb"/>
            <w:vAlign w:val="top"/>
            <w:tcW w:type="dxa" w:w="21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7a56c5">
            <w:pPr>
              <w:pStyle w:val="Normal"/>
              <w:ind w:right="-1"/>
              <w:jc w:val="right"/>
            </w:pPr>
            <w:r w:rsidR="005e3a0e" w:rsidRPr="001c4b59">
              <w:t xml:space="preserve">                  К.Г. Слыщенко</w:t>
            </w:r>
            <w:r w:rsidR="005e3a0e"/>
          </w:p>
        </w:tc>
      </w:tr>
    </w:tbl>
    <w:p w:rsidP="00b21d0f">
      <w:pPr>
        <w:pStyle w:val="Normal"/>
        <w:ind w:right="-1"/>
        <w:jc w:val="both"/>
      </w:pPr>
      <w:r w:rsidR="005e3a0e"/>
    </w:p>
    <w:p w:rsidP="00b21d0f">
      <w:pPr>
        <w:pStyle w:val="Normal"/>
        <w:ind w:right="-1"/>
        <w:jc w:val="both"/>
      </w:pPr>
      <w:r w:rsidR="001a264c">
        <w:br w:type="page"/>
      </w:r>
    </w:p>
    <w:tbl>
      <w:tblPr>
        <w:tblW w:type="dxa" w:w="9889"/>
        <w:tblLook w:val="01e0"/>
        <w:tblW w:type="dxa" w:w="9889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0238FF70-00A7-44A1-827A-EED6F018A47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a264c" w:rsidRPr="0010166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framePr w:hAnchor="margin" w:hSpace="181" w:vAnchor="text" w:wrap="around" w:y="1"/>
              <w:jc w:val="center"/>
            </w:pPr>
            <w:r w:rsidR="007a56c5" w:rsidRPr="00101668">
              <w:rPr>
                <w:szCs w:val="28"/>
                <w:noProof/>
                <w:rFonts w:ascii="Bookman Old Style" w:hAnsi="Bookman Old Style"/>
              </w:rPr>
              <w:pict>
                <v:line id="_x0000_s1035" type="#_x0000_t20" style="position:absolute;mso-position-vertical-relative:page;" from="-7.1500000000000004pt,9pt" to="486.35000000000002pt,9pt" strokeweight="63500" filled="f">
                  <v:stroke linestyle="thickThin"/>
                </v:line>
              </w:pict>
            </w:r>
            <w:r w:rsidR="001a264c" w:rsidRPr="0010166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a264c">
      <w:pPr>
        <w:pStyle w:val="Normal"/>
        <w:rPr>
          <w:i/>
          <w:szCs w:val="28"/>
          <w:lang w:val="en-US"/>
        </w:rPr>
      </w:pPr>
      <w:r w:rsidR="001a264c" w:rsidRPr="00101668">
        <w:rPr>
          <w:i/>
          <w:szCs w:val="28"/>
          <w:lang w:val="en-US"/>
        </w:rPr>
      </w:r>
    </w:p>
    <w:p w:rsidP="001a264c">
      <w:pPr>
        <w:pStyle w:val="Normal"/>
        <w:rPr>
          <w:b/>
          <w:sz w:val="36"/>
          <w:szCs w:val="36"/>
        </w:rPr>
        <w:jc w:val="center"/>
      </w:pPr>
      <w:r w:rsidR="001a264c" w:rsidRPr="00101668">
        <w:rPr>
          <w:b/>
          <w:sz w:val="36"/>
          <w:szCs w:val="36"/>
        </w:rPr>
        <w:t xml:space="preserve">РЕШЕНИЕ</w:t>
      </w:r>
    </w:p>
    <w:p w:rsidP="001a264c">
      <w:pPr>
        <w:pStyle w:val="Normal"/>
        <w:rPr>
          <w:b/>
          <w:szCs w:val="28"/>
        </w:rPr>
      </w:pPr>
      <w:r w:rsidR="001a264c" w:rsidRPr="00101668">
        <w:rPr>
          <w:b/>
          <w:szCs w:val="28"/>
        </w:rPr>
      </w:r>
    </w:p>
    <w:p w:rsidP="001a264c">
      <w:pPr>
        <w:pStyle w:val="Normal"/>
        <w:rPr>
          <w:sz w:val="27"/>
          <w:szCs w:val="27"/>
        </w:rPr>
        <w:jc w:val="center"/>
      </w:pPr>
      <w:r w:rsidR="001a264c" w:rsidRPr="008867a2">
        <w:rPr>
          <w:sz w:val="27"/>
          <w:szCs w:val="27"/>
        </w:rPr>
        <w:t xml:space="preserve">от </w:t>
      </w:r>
      <w:r w:rsidR="007a56c5">
        <w:rPr>
          <w:sz w:val="27"/>
          <w:szCs w:val="27"/>
        </w:rPr>
        <w:t xml:space="preserve">28.04.2014 </w:t>
      </w:r>
      <w:r w:rsidR="001a264c" w:rsidRPr="008867a2">
        <w:rPr>
          <w:sz w:val="27"/>
          <w:szCs w:val="27"/>
        </w:rPr>
        <w:t xml:space="preserve">№</w:t>
      </w:r>
      <w:r w:rsidR="007a56c5">
        <w:rPr>
          <w:sz w:val="27"/>
          <w:szCs w:val="27"/>
        </w:rPr>
        <w:t xml:space="preserve"> 218</w:t>
      </w:r>
      <w:r w:rsidR="001a264c" w:rsidRPr="008867a2">
        <w:rPr>
          <w:sz w:val="27"/>
          <w:szCs w:val="27"/>
        </w:rPr>
        <w:t xml:space="preserve">-нд</w:t>
      </w:r>
    </w:p>
    <w:p w:rsidP="001a264c">
      <w:pPr>
        <w:pStyle w:val="Normal"/>
        <w:rPr>
          <w:szCs w:val="28"/>
        </w:rPr>
        <w:jc w:val="center"/>
      </w:pPr>
      <w:r w:rsidR="001a264c" w:rsidRPr="00101668">
        <w:rPr>
          <w:szCs w:val="28"/>
        </w:rPr>
      </w:r>
    </w:p>
    <w:p w:rsidP="001a264c">
      <w:pPr>
        <w:pStyle w:val="Normal"/>
        <w:rPr>
          <w:i/>
        </w:rPr>
        <w:jc w:val="center"/>
      </w:pPr>
      <w:r w:rsidR="001a264c" w:rsidRPr="00101668">
        <w:rPr>
          <w:b/>
          <w:szCs w:val="28"/>
        </w:rPr>
        <w:t xml:space="preserve">О внесении изменени</w:t>
      </w:r>
      <w:r w:rsidR="001a264c">
        <w:rPr>
          <w:b/>
          <w:szCs w:val="28"/>
        </w:rPr>
        <w:t xml:space="preserve">я</w:t>
      </w:r>
      <w:r w:rsidR="001a264c" w:rsidRPr="00101668">
        <w:rPr>
          <w:b/>
          <w:szCs w:val="28"/>
        </w:rPr>
        <w:t xml:space="preserve"> </w:t>
      </w:r>
      <w:r w:rsidR="001a264c">
        <w:rPr>
          <w:b/>
          <w:szCs w:val="28"/>
        </w:rPr>
        <w:t xml:space="preserve">в</w:t>
      </w:r>
      <w:r w:rsidR="001a264c" w:rsidRPr="00101668">
        <w:rPr>
          <w:b/>
          <w:szCs w:val="28"/>
        </w:rPr>
        <w:t xml:space="preserve"> Решение Городской Думы Петропавловск-Камчатского городского округа от </w:t>
      </w:r>
      <w:r w:rsidR="001a264c">
        <w:rPr>
          <w:b/>
          <w:szCs w:val="28"/>
        </w:rPr>
        <w:t xml:space="preserve">18.11.2010</w:t>
      </w:r>
      <w:r w:rsidR="001a264c" w:rsidRPr="00101668">
        <w:rPr>
          <w:b/>
          <w:szCs w:val="28"/>
        </w:rPr>
        <w:t xml:space="preserve"> № </w:t>
      </w:r>
      <w:r w:rsidR="001a264c">
        <w:rPr>
          <w:b/>
          <w:szCs w:val="28"/>
        </w:rPr>
        <w:t xml:space="preserve">305-нд «О земельном налоге на территории Петропавловск-Камчатского городского округа»</w:t>
      </w:r>
      <w:r w:rsidR="001a264c" w:rsidRPr="00f809c3">
        <w:rPr>
          <w:b/>
          <w:szCs w:val="28"/>
        </w:rPr>
        <w:t xml:space="preserve">  </w:t>
      </w:r>
      <w:r w:rsidR="001a264c">
        <w:rPr>
          <w:b/>
          <w:szCs w:val="28"/>
        </w:rPr>
        <w:t xml:space="preserve"> </w:t>
      </w:r>
      <w:r w:rsidR="001a264c" w:rsidRPr="00f809c3">
        <w:rPr>
          <w:b/>
          <w:szCs w:val="28"/>
        </w:rPr>
        <w:br w:clear="all" w:type="textWrapping"/>
      </w:r>
      <w:r w:rsidR="001a264c">
        <w:rPr>
          <w:i/>
        </w:rPr>
      </w:r>
    </w:p>
    <w:p w:rsidP="001a264c">
      <w:pPr>
        <w:pStyle w:val="Normal"/>
        <w:rPr>
          <w:i/>
          <w:sz w:val="24"/>
        </w:rPr>
        <w:jc w:val="center"/>
      </w:pPr>
      <w:r w:rsidR="001a264c" w:rsidRPr="007a56c5">
        <w:rPr>
          <w:i/>
          <w:sz w:val="24"/>
        </w:rPr>
        <w:t xml:space="preserve">Принято Городской Думой Петропавловск-Камчатского городского округа</w:t>
      </w:r>
    </w:p>
    <w:p w:rsidP="001a264c">
      <w:pPr>
        <w:pStyle w:val="Normal"/>
        <w:rPr>
          <w:i/>
          <w:sz w:val="24"/>
        </w:rPr>
        <w:jc w:val="center"/>
      </w:pPr>
      <w:r w:rsidR="001a264c" w:rsidRPr="007a56c5">
        <w:rPr>
          <w:i/>
          <w:sz w:val="24"/>
        </w:rPr>
        <w:t xml:space="preserve">(решение от</w:t>
      </w:r>
      <w:r w:rsidR="007a56c5">
        <w:rPr>
          <w:i/>
          <w:sz w:val="24"/>
        </w:rPr>
        <w:t xml:space="preserve"> 23.04.2014 </w:t>
      </w:r>
      <w:r w:rsidR="001a264c" w:rsidRPr="007a56c5">
        <w:rPr>
          <w:i/>
          <w:sz w:val="24"/>
        </w:rPr>
        <w:t xml:space="preserve">№</w:t>
      </w:r>
      <w:r w:rsidR="007a56c5">
        <w:rPr>
          <w:i/>
          <w:sz w:val="24"/>
        </w:rPr>
        <w:t xml:space="preserve"> 465</w:t>
      </w:r>
      <w:r w:rsidR="001a264c" w:rsidRPr="007a56c5">
        <w:rPr>
          <w:i/>
          <w:sz w:val="24"/>
        </w:rPr>
        <w:t xml:space="preserve">-р)</w:t>
      </w:r>
    </w:p>
    <w:p w:rsidP="001a264c">
      <w:pPr>
        <w:pStyle w:val="Normal"/>
        <w:rPr>
          <w:szCs w:val="28"/>
        </w:rPr>
      </w:pPr>
      <w:r w:rsidR="001a264c" w:rsidRPr="00101668">
        <w:rPr>
          <w:szCs w:val="28"/>
        </w:rPr>
      </w:r>
    </w:p>
    <w:p w:rsidP="001a264c">
      <w:pPr>
        <w:pStyle w:val="Normal"/>
        <w:rPr>
          <w:szCs w:val="28"/>
        </w:rPr>
        <w:tabs>
          <w:tab w:leader="none" w:pos="993" w:val="left"/>
        </w:tabs>
        <w:widowControl w:val="off"/>
        <w:autoSpaceDE w:val="off"/>
        <w:autoSpaceDN w:val="off"/>
        <w:ind w:left="709"/>
        <w:jc w:val="both"/>
      </w:pPr>
      <w:r w:rsidR="001a264c">
        <w:rPr>
          <w:szCs w:val="28"/>
        </w:rPr>
        <w:t xml:space="preserve">1. Пункт 5 статьи 2 изложить в следующей редакции:</w:t>
      </w:r>
    </w:p>
    <w:p w:rsidP="001a264c">
      <w:pPr>
        <w:pStyle w:val="Normal"/>
        <w:rPr>
          <w:bCs/>
          <w:szCs w:val="28"/>
        </w:rPr>
        <w:autoSpaceDE w:val="off"/>
        <w:autoSpaceDN w:val="off"/>
        <w:ind w:firstLine="709"/>
        <w:jc w:val="both"/>
      </w:pPr>
      <w:r w:rsidR="001a264c">
        <w:rPr>
          <w:szCs w:val="28"/>
        </w:rPr>
        <w:t xml:space="preserve">«</w:t>
      </w:r>
      <w:r w:rsidR="001a264c" w:rsidRPr="009f43de">
        <w:rPr>
          <w:bCs/>
          <w:szCs w:val="28"/>
        </w:rPr>
        <w:t xml:space="preserve">5) 0,3 процента в отношении земельных участков:</w:t>
      </w:r>
    </w:p>
    <w:p w:rsidP="004a36e1">
      <w:pPr>
        <w:pStyle w:val="Normal"/>
        <w:rPr>
          <w:bCs/>
          <w:szCs w:val="28"/>
        </w:rPr>
        <w:tabs>
          <w:tab w:leader="none" w:pos="709" w:val="left"/>
        </w:tabs>
        <w:autoSpaceDE w:val="off"/>
        <w:autoSpaceDN w:val="off"/>
        <w:ind w:firstLine="709"/>
        <w:jc w:val="both"/>
      </w:pPr>
      <w:r w:rsidR="001a264c" w:rsidRPr="009f43de">
        <w:rPr>
          <w:bCs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P="001a264c">
      <w:pPr>
        <w:pStyle w:val="Normal"/>
        <w:rPr>
          <w:bCs/>
          <w:szCs w:val="28"/>
        </w:rPr>
        <w:autoSpaceDE w:val="off"/>
        <w:autoSpaceDN w:val="off"/>
        <w:ind w:firstLine="709"/>
        <w:jc w:val="both"/>
      </w:pPr>
      <w:r w:rsidR="001a264c" w:rsidRPr="009f43de">
        <w:rPr>
          <w:bCs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P="001a264c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1a264c">
        <w:rPr>
          <w:szCs w:val="28"/>
        </w:rPr>
        <w:t xml:space="preserve">- ограниченных в обороте в соответствии с </w:t>
      </w:r>
      <w:r w:rsidR="001a264c" w:rsidRPr="00f86e46">
        <w:rPr>
          <w:szCs w:val="28"/>
          <w:color w:val="000000"/>
        </w:rPr>
        <w:fldChar w:fldCharType="begin"/>
      </w:r>
      <w:r w:rsidR="001a264c" w:rsidRPr="00f86e46">
        <w:rPr>
          <w:szCs w:val="28"/>
          <w:color w:val="000000"/>
        </w:rPr>
        <w:instrText xml:space="preserve">HYPERLINK consultantplus://offline/ref=674DE42602C3019A3D7800BDA639AD87E64CCB3C5122EDA763BADF8830B0360E2AF85561A77828BEnCp6V </w:instrText>
      </w:r>
      <w:r w:rsidR="001a264c" w:rsidRPr="00f86e46">
        <w:rPr>
          <w:szCs w:val="28"/>
          <w:color w:val="000000"/>
        </w:rPr>
      </w:r>
      <w:r w:rsidR="001a264c" w:rsidRPr="00f86e46">
        <w:rPr>
          <w:szCs w:val="28"/>
          <w:color w:val="000000"/>
        </w:rPr>
        <w:fldChar w:fldCharType="separate"/>
      </w:r>
      <w:r w:rsidR="001a264c" w:rsidRPr="00f86e46">
        <w:rPr>
          <w:szCs w:val="28"/>
          <w:color w:val="000000"/>
        </w:rPr>
        <w:instrText xml:space="preserve">законодательством</w:instrText>
      </w:r>
      <w:r w:rsidR="001a264c" w:rsidRPr="00f86e46">
        <w:rPr>
          <w:szCs w:val="28"/>
          <w:color w:val="000000"/>
        </w:rPr>
        <w:fldChar w:fldCharType="end"/>
      </w:r>
      <w:r w:rsidR="001a264c">
        <w:rPr>
          <w:szCs w:val="28"/>
        </w:rPr>
        <w:t xml:space="preserve"> Российской Федерации, предоставленных для обеспечения обороны, безопасности и таможенных нужд;».</w:t>
      </w:r>
    </w:p>
    <w:p w:rsidP="001a264c">
      <w:pPr>
        <w:pStyle w:val="Normal"/>
        <w:rPr>
          <w:szCs w:val="28"/>
        </w:rPr>
        <w:tabs>
          <w:tab w:leader="none" w:pos="851" w:val="left"/>
        </w:tabs>
        <w:widowControl w:val="off"/>
        <w:autoSpaceDE w:val="off"/>
        <w:autoSpaceDN w:val="off"/>
        <w:ind w:firstLine="709"/>
        <w:jc w:val="both"/>
      </w:pPr>
      <w:r w:rsidR="001a264c" w:rsidRPr="00011f32">
        <w:rPr>
          <w:szCs w:val="28"/>
        </w:rPr>
        <w:t xml:space="preserve">2.</w:t>
      </w:r>
      <w:r w:rsidR="001a264c">
        <w:rPr>
          <w:szCs w:val="28"/>
        </w:rPr>
        <w:t xml:space="preserve"> </w:t>
      </w:r>
      <w:r w:rsidR="001a264c" w:rsidRPr="00011f32">
        <w:rPr>
          <w:szCs w:val="28"/>
        </w:rPr>
        <w:t xml:space="preserve">Настоя</w:t>
      </w:r>
      <w:r w:rsidR="001a264c">
        <w:rPr>
          <w:szCs w:val="28"/>
        </w:rPr>
        <w:t xml:space="preserve">щее Решение вступает в силу после дня его официального опубликования и распространяется на отношения, возникшие с 01.01.2013.</w:t>
      </w:r>
    </w:p>
    <w:p w:rsidP="001a264c">
      <w:pPr>
        <w:pStyle w:val="StGen3"/>
        <w:rPr>
          <w:sz w:val="28"/>
          <w:szCs w:val="28"/>
          <w:rFonts w:ascii="Times New Roman" w:hAnsi="Times New Roman"/>
        </w:rPr>
        <w:tabs>
          <w:tab w:leader="none" w:pos="709" w:val="left"/>
        </w:tabs>
        <w:outlineLvl w:val="0"/>
        <w:ind w:firstLine="426"/>
        <w:jc w:val="both"/>
      </w:pPr>
      <w:r w:rsidR="001a264c">
        <w:rPr>
          <w:sz w:val="28"/>
          <w:szCs w:val="28"/>
          <w:rFonts w:ascii="Times New Roman" w:hAnsi="Times New Roman"/>
        </w:rPr>
      </w:r>
    </w:p>
    <w:p w:rsidP="001a264c">
      <w:pPr>
        <w:pStyle w:val="StGen3"/>
        <w:rPr>
          <w:sz w:val="28"/>
          <w:szCs w:val="28"/>
          <w:rFonts w:ascii="Times New Roman" w:hAnsi="Times New Roman"/>
        </w:rPr>
        <w:tabs>
          <w:tab w:leader="none" w:pos="709" w:val="left"/>
        </w:tabs>
        <w:outlineLvl w:val="0"/>
        <w:ind w:firstLine="426"/>
        <w:jc w:val="both"/>
      </w:pPr>
      <w:r w:rsidR="001a264c" w:rsidRPr="005a2b2f">
        <w:rPr>
          <w:sz w:val="28"/>
          <w:szCs w:val="28"/>
          <w:rFonts w:ascii="Times New Roman" w:hAnsi="Times New Roman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Глава</w:t>
            </w:r>
          </w:p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Петропавловск-Камчатского</w:t>
            </w:r>
          </w:p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  <w:t xml:space="preserve">                  </w:t>
            </w:r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ind w:firstLine="709"/>
              <w:jc w:val="right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right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right="-108"/>
              <w:jc w:val="right"/>
            </w:pPr>
            <w:r w:rsidR="001a264c">
              <w:rPr>
                <w:szCs w:val="28"/>
              </w:rPr>
              <w:t xml:space="preserve">       </w:t>
            </w:r>
            <w:r w:rsidR="001a264c" w:rsidRPr="005e5a10">
              <w:rPr>
                <w:szCs w:val="28"/>
              </w:rPr>
              <w:t xml:space="preserve">        </w:t>
            </w:r>
            <w:r w:rsidR="001a264c">
              <w:rPr>
                <w:szCs w:val="28"/>
              </w:rPr>
              <w:t xml:space="preserve"> </w:t>
            </w:r>
            <w:r w:rsidR="001a264c" w:rsidRPr="005e5a10">
              <w:rPr>
                <w:szCs w:val="28"/>
              </w:rPr>
              <w:t xml:space="preserve">   К.Г. Слыщенко</w:t>
            </w:r>
          </w:p>
        </w:tc>
      </w:tr>
    </w:tbl>
    <w:p w:rsidP="001a264c">
      <w:pPr>
        <w:pStyle w:val="Normal"/>
      </w:pPr>
      <w:r w:rsidR="001a264c"/>
    </w:p>
    <w:p w:rsidP="001a264c">
      <w:pPr>
        <w:pStyle w:val="Normal"/>
      </w:pPr>
      <w:r w:rsidR="001a264c"/>
    </w:p>
    <w:sectPr>
      <w:type w:val="nextPage"/>
      <w:pgSz w:h="16838" w:w="11906"/>
      <w:pgMar w:bottom="567" w:footer="709" w:gutter="0" w:header="709" w:left="1418" w:right="680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1f32"/>
    <w:rsid w:val="00101668"/>
    <w:rsid w:val="0013567d"/>
    <w:rsid w:val="001a264c"/>
    <w:rsid w:val="001c4b59"/>
    <w:rsid w:val="00252a2f"/>
    <w:rsid w:val="00283773"/>
    <w:rsid w:val="002d59eb"/>
    <w:rsid w:val="00317040"/>
    <w:rsid w:val="003e4576"/>
    <w:rsid w:val="004a36e1"/>
    <w:rsid w:val="00517ca3"/>
    <w:rsid w:val="005a2b2f"/>
    <w:rsid w:val="005e3a0e"/>
    <w:rsid w:val="005e5a10"/>
    <w:rsid w:val="006b500d"/>
    <w:rsid w:val="006e2bde"/>
    <w:rsid w:val="007a56c5"/>
    <w:rsid w:val="007b2941"/>
    <w:rsid w:val="007c298d"/>
    <w:rsid w:val="007d007d"/>
    <w:rsid w:val="007e75a6"/>
    <w:rsid w:val="0085770d"/>
    <w:rsid w:val="008867a2"/>
    <w:rsid w:val="00910d2a"/>
    <w:rsid w:val="009d0e47"/>
    <w:rsid w:val="009e1a33"/>
    <w:rsid w:val="009f43de"/>
    <w:rsid w:val="00b21d0f"/>
    <w:rsid w:val="00b93889"/>
    <w:rsid w:val="00c01c80"/>
    <w:rsid w:val="00d442e8"/>
    <w:rsid w:val="00df0ecd"/>
    <w:rsid w:val="00e03ebb"/>
    <w:rsid w:val="00e9761b"/>
    <w:rsid w:val="00f64a7d"/>
    <w:rsid w:val="00f809c3"/>
    <w:rsid w:val="00f86e46"/>
    <w:rsid w:val="00fa2b3b"/>
    <w:rsid w:val="00fb527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29">
    <w:name w:val="StGen29"/>
    <w:basedOn w:val="Normal"/>
    <w:next w:val="StGen29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4">
    <w:name w:val="StGen24"/>
    <w:basedOn w:val="Normal"/>
    <w:next w:val="StGen2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