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5"/>
        <w:ind w:left="396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юридическим отделом управления организационно-правового обеспечения работы аппарата Городской Думы Петропавловск-Камчатского городского округа и внесен </w:t>
      </w:r>
      <w:r>
        <w:rPr>
          <w:i/>
          <w:color w:val="000000"/>
          <w:sz w:val="20"/>
          <w:szCs w:val="20"/>
        </w:rPr>
        <w:t xml:space="preserve">председател</w:t>
      </w:r>
      <w:r>
        <w:rPr>
          <w:i/>
          <w:color w:val="000000"/>
          <w:sz w:val="20"/>
          <w:szCs w:val="20"/>
        </w:rPr>
        <w:t xml:space="preserve">ем</w:t>
      </w:r>
      <w:r>
        <w:rPr>
          <w:i/>
          <w:sz w:val="20"/>
          <w:szCs w:val="20"/>
        </w:rPr>
        <w:t xml:space="preserve"> Городской Думы Петропавловск-Камчатского городского округа </w:t>
      </w:r>
      <w:r>
        <w:rPr>
          <w:i/>
          <w:sz w:val="20"/>
          <w:szCs w:val="20"/>
        </w:rPr>
        <w:t xml:space="preserve">Лимановым А.С.</w:t>
      </w:r>
      <w:r>
        <w:rPr>
          <w:i/>
          <w:sz w:val="20"/>
          <w:szCs w:val="20"/>
        </w:rPr>
      </w:r>
      <w:r>
        <w:rPr>
          <w:i/>
          <w:sz w:val="20"/>
          <w:szCs w:val="20"/>
        </w:rPr>
      </w:r>
    </w:p>
    <w:tbl>
      <w:tblPr>
        <w:tblpPr w:horzAnchor="margin" w:tblpX="108" w:vertAnchor="text" w:tblpY="65" w:leftFromText="181" w:topFromText="0" w:rightFromText="181" w:bottomFromText="0"/>
        <w:tblW w:w="9638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638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38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rFonts w:ascii="Bookman Old Style" w:hAnsi="Bookman Old Style"/>
                <w:sz w:val="30"/>
                <w:szCs w:val="30"/>
              </w:rPr>
              <w:framePr w:hSpace="181" w:wrap="around" w:vAnchor="text" w:hAnchor="margin" w:x="108" w:y="65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6684" cy="998654"/>
                      <wp:effectExtent l="0" t="0" r="0" b="0"/>
                      <wp:docPr id="1" name="_x0000_i102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6684" cy="998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9.50pt;height:78.63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</w:r>
            <w:r>
              <w:rPr>
                <w:rFonts w:ascii="Bookman Old Style" w:hAnsi="Bookman Old Style"/>
                <w:sz w:val="30"/>
                <w:szCs w:val="30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38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rFonts w:ascii="Bookman Old Style" w:hAnsi="Bookman Old Style"/>
                <w:sz w:val="30"/>
                <w:szCs w:val="30"/>
              </w:rPr>
              <w:framePr w:hSpace="181" w:wrap="around" w:vAnchor="text" w:hAnchor="margin" w:x="108" w:y="65"/>
            </w:pPr>
            <w:r>
              <w:rPr>
                <w:rFonts w:ascii="Bookman Old Style" w:hAnsi="Bookman Old Style"/>
                <w:sz w:val="30"/>
                <w:szCs w:val="30"/>
              </w:rPr>
              <w:t xml:space="preserve">ГОРОДСКАЯ ДУМА</w:t>
            </w:r>
            <w:r>
              <w:rPr>
                <w:rFonts w:ascii="Bookman Old Style" w:hAnsi="Bookman Old Style"/>
                <w:sz w:val="30"/>
                <w:szCs w:val="30"/>
              </w:rPr>
            </w:r>
            <w:r>
              <w:rPr>
                <w:rFonts w:ascii="Bookman Old Style" w:hAnsi="Bookman Old Style"/>
                <w:sz w:val="30"/>
                <w:szCs w:val="30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38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rFonts w:ascii="Bookman Old Style" w:hAnsi="Bookman Old Style"/>
                <w:sz w:val="30"/>
                <w:szCs w:val="30"/>
              </w:rPr>
              <w:framePr w:hSpace="181" w:wrap="around" w:vAnchor="text" w:hAnchor="margin" w:x="108" w:y="65"/>
            </w:pPr>
            <w:r>
              <w:rPr>
                <w:rFonts w:ascii="Bookman Old Style" w:hAnsi="Bookman Old Style"/>
                <w:sz w:val="30"/>
                <w:szCs w:val="30"/>
              </w:rPr>
              <w:t xml:space="preserve">ПЕТРОПАВЛОВСК-КАМЧАТСКОГО ГОРОДСКОГО ОКРУГА</w:t>
            </w:r>
            <w:r>
              <w:rPr>
                <w:rFonts w:ascii="Bookman Old Style" w:hAnsi="Bookman Old Style"/>
                <w:sz w:val="30"/>
                <w:szCs w:val="30"/>
              </w:rPr>
            </w:r>
            <w:r>
              <w:rPr>
                <w:rFonts w:ascii="Bookman Old Style" w:hAnsi="Bookman Old Style"/>
                <w:sz w:val="30"/>
                <w:szCs w:val="30"/>
              </w:rPr>
            </w:r>
          </w:p>
        </w:tc>
      </w:tr>
      <w:tr>
        <w:tblPrEx/>
        <w:trPr>
          <w:trHeight w:val="400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38" w:type="dxa"/>
            <w:vAlign w:val="top"/>
            <w:textDirection w:val="lrTb"/>
            <w:noWrap w:val="false"/>
          </w:tcPr>
          <w:p>
            <w:r/>
            <w:r/>
          </w:p>
        </w:tc>
      </w:tr>
    </w:tbl>
    <w:p>
      <w:pPr>
        <w:pStyle w:val="885"/>
        <w:jc w:val="left"/>
        <w:tabs>
          <w:tab w:val="left" w:pos="79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2989636</wp:posOffset>
                </wp:positionV>
                <wp:extent cx="6084998" cy="0"/>
                <wp:effectExtent l="3174" t="3174" r="3174" b="3174"/>
                <wp:wrapNone/>
                <wp:docPr id="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6084998" cy="0"/>
                        </a:xfrm>
                        <a:prstGeom prst="line">
                          <a:avLst/>
                        </a:prstGeom>
                        <a:noFill/>
                        <a:ln w="6349" cmpd="tri">
                          <a:solidFill>
                            <a:srgbClr val="000000">
                              <a:alpha val="97000"/>
                            </a:srgbClr>
                          </a:solidFill>
                          <a:prstDash val="solid"/>
                          <a:round/>
                          <a:headEnd/>
                          <a:tailEnd type="non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" o:spid="_x0000_s1" style="position:absolute;left:0;text-align:left;z-index:251659264;mso-wrap-distance-left:9.00pt;mso-wrap-distance-top:0.00pt;mso-wrap-distance-right:9.00pt;mso-wrap-distance-bottom:0.00pt;rotation:0;flip:y;visibility:visible;" from="0.0pt,235.4pt" to="479.1pt,235.4pt" filled="f" strokecolor="#000000" strokeweight="0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3016094</wp:posOffset>
                </wp:positionV>
                <wp:extent cx="6084998" cy="0"/>
                <wp:effectExtent l="9524" t="9524" r="9524" b="9524"/>
                <wp:wrapNone/>
                <wp:docPr id="3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6084998" cy="0"/>
                        </a:xfrm>
                        <a:prstGeom prst="line">
                          <a:avLst/>
                        </a:prstGeom>
                        <a:noFill/>
                        <a:ln w="19049" cmpd="tri">
                          <a:solidFill>
                            <a:srgbClr val="000000">
                              <a:alpha val="97000"/>
                            </a:srgbClr>
                          </a:solidFill>
                          <a:prstDash val="solid"/>
                          <a:round/>
                          <a:headEnd/>
                          <a:tailEnd type="non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" o:spid="_x0000_s2" style="position:absolute;left:0;text-align:left;z-index:251659264;mso-wrap-distance-left:9.00pt;mso-wrap-distance-top:0.00pt;mso-wrap-distance-right:9.00pt;mso-wrap-distance-bottom:0.00pt;rotation:0;flip:y;visibility:visible;" from="0.0pt,237.5pt" to="479.1pt,237.5pt" filled="f" strokecolor="#000000" strokeweight="1.50pt">
                <v:stroke dashstyle="solid"/>
              </v:lin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РЕШЕНИЕ</w:t>
      </w:r>
      <w:r>
        <w:rPr>
          <w:b/>
          <w:sz w:val="36"/>
          <w:szCs w:val="36"/>
        </w:rPr>
      </w:r>
      <w:r>
        <w:rPr>
          <w:b/>
          <w:sz w:val="36"/>
          <w:szCs w:val="36"/>
        </w:rPr>
      </w:r>
    </w:p>
    <w:p>
      <w:pPr>
        <w:pStyle w:val="885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060"/>
      </w:tblGrid>
      <w:tr>
        <w:tblPrEx/>
        <w:trPr>
          <w:trHeight w:val="328"/>
        </w:trPr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60" w:type="dxa"/>
            <w:vAlign w:val="center"/>
            <w:textDirection w:val="lrTb"/>
            <w:noWrap w:val="false"/>
          </w:tcPr>
          <w:p>
            <w:pPr>
              <w:pStyle w:val="895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</w:t>
            </w:r>
            <w:r>
              <w:rPr>
                <w:szCs w:val="24"/>
              </w:rPr>
              <w:t xml:space="preserve">т </w:t>
            </w:r>
            <w:r>
              <w:rPr>
                <w:szCs w:val="24"/>
              </w:rPr>
              <w:t xml:space="preserve">          №  </w:t>
            </w:r>
            <w:r>
              <w:rPr>
                <w:szCs w:val="24"/>
              </w:rPr>
              <w:t xml:space="preserve">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-р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>
          <w:trHeight w:val="328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60" w:type="dxa"/>
            <w:vAlign w:val="center"/>
            <w:textDirection w:val="lrTb"/>
            <w:noWrap w:val="false"/>
          </w:tcPr>
          <w:p>
            <w:pPr>
              <w:pStyle w:val="895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сессия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>
          <w:trHeight w:val="268"/>
        </w:trPr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060" w:type="dxa"/>
            <w:vAlign w:val="center"/>
            <w:textDirection w:val="lrTb"/>
            <w:noWrap w:val="false"/>
          </w:tcPr>
          <w:p>
            <w:pPr>
              <w:pStyle w:val="895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г.Петропавловск-Камчатский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</w:tbl>
    <w:p>
      <w:pPr>
        <w:pStyle w:val="885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52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45" w:type="dxa"/>
            <w:vAlign w:val="top"/>
            <w:textDirection w:val="lrTb"/>
            <w:noWrap w:val="false"/>
          </w:tcPr>
          <w:p>
            <w:pPr>
              <w:pStyle w:val="885"/>
              <w:ind w:firstLine="0"/>
              <w:jc w:val="both"/>
              <w:rPr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О принятии решения о внесении изменений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</w:rPr>
              <w:t xml:space="preserve">в </w:t>
            </w:r>
            <w:r>
              <w:rPr>
                <w:b w:val="0"/>
                <w:bCs w:val="0"/>
                <w:sz w:val="28"/>
                <w:szCs w:val="28"/>
              </w:rPr>
              <w:t xml:space="preserve">Решение Городской Думы Петропавловск-Камчатского городского округа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</w:rPr>
              <w:t xml:space="preserve">от </w:t>
            </w:r>
            <w:r>
              <w:rPr>
                <w:b w:val="0"/>
                <w:bCs w:val="0"/>
                <w:sz w:val="28"/>
                <w:szCs w:val="28"/>
              </w:rPr>
              <w:t xml:space="preserve">26.06.2013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</w:rPr>
              <w:t xml:space="preserve">№</w:t>
            </w:r>
            <w:r>
              <w:rPr>
                <w:b w:val="0"/>
                <w:bCs w:val="0"/>
                <w:sz w:val="28"/>
                <w:szCs w:val="28"/>
              </w:rPr>
              <w:t xml:space="preserve"> 90</w:t>
            </w:r>
            <w:r>
              <w:rPr>
                <w:b w:val="0"/>
                <w:bCs w:val="0"/>
                <w:sz w:val="28"/>
                <w:szCs w:val="28"/>
              </w:rPr>
              <w:t xml:space="preserve">-нд «</w:t>
            </w:r>
            <w:r>
              <w:rPr>
                <w:b w:val="0"/>
                <w:bCs w:val="0"/>
                <w:sz w:val="28"/>
                <w:szCs w:val="28"/>
              </w:rPr>
              <w:t xml:space="preserve">О</w:t>
            </w:r>
            <w:r>
              <w:rPr>
                <w:b w:val="0"/>
                <w:bCs w:val="0"/>
                <w:sz w:val="28"/>
                <w:szCs w:val="28"/>
              </w:rPr>
              <w:t xml:space="preserve"> порядке регулирования отношений, связанных с формированием, финансовым о</w:t>
            </w:r>
            <w:r>
              <w:rPr>
                <w:b w:val="0"/>
                <w:bCs w:val="0"/>
                <w:sz w:val="28"/>
                <w:szCs w:val="28"/>
              </w:rPr>
              <w:t xml:space="preserve">беспечением наказов избирателей</w:t>
            </w:r>
            <w:r>
              <w:rPr>
                <w:b w:val="0"/>
                <w:bCs w:val="0"/>
                <w:sz w:val="28"/>
                <w:szCs w:val="28"/>
              </w:rPr>
              <w:t xml:space="preserve"> в Петропавловск-Камчатском городском округе и контролем за их выполнением» 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85"/>
        <w:ind w:right="521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>
        <w:rPr>
          <w:sz w:val="28"/>
          <w:szCs w:val="28"/>
        </w:rPr>
        <w:t xml:space="preserve">проект решения </w:t>
      </w:r>
      <w:r>
        <w:rPr>
          <w:sz w:val="28"/>
          <w:szCs w:val="28"/>
        </w:rPr>
        <w:t xml:space="preserve">о внесении изменени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Решение Городской Думы Петропавловск-Камчатского городского округа </w:t>
      </w:r>
      <w:r>
        <w:rPr>
          <w:b w:val="0"/>
          <w:bCs w:val="0"/>
          <w:sz w:val="28"/>
          <w:szCs w:val="28"/>
        </w:rPr>
        <w:t xml:space="preserve">от </w:t>
      </w:r>
      <w:r>
        <w:rPr>
          <w:b w:val="0"/>
          <w:bCs w:val="0"/>
          <w:sz w:val="28"/>
          <w:szCs w:val="28"/>
        </w:rPr>
        <w:t xml:space="preserve">26.06.2013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№</w:t>
      </w:r>
      <w:r>
        <w:rPr>
          <w:b w:val="0"/>
          <w:bCs w:val="0"/>
          <w:sz w:val="28"/>
          <w:szCs w:val="28"/>
        </w:rPr>
        <w:t xml:space="preserve"> 90</w:t>
      </w:r>
      <w:r>
        <w:rPr>
          <w:b w:val="0"/>
          <w:bCs w:val="0"/>
          <w:sz w:val="28"/>
          <w:szCs w:val="28"/>
        </w:rPr>
        <w:t xml:space="preserve">-нд </w:t>
        <w:br/>
        <w:t xml:space="preserve">«</w:t>
      </w:r>
      <w:r>
        <w:rPr>
          <w:b w:val="0"/>
          <w:bCs w:val="0"/>
          <w:sz w:val="28"/>
          <w:szCs w:val="28"/>
        </w:rPr>
        <w:t xml:space="preserve">О</w:t>
      </w:r>
      <w:r>
        <w:rPr>
          <w:b w:val="0"/>
          <w:bCs w:val="0"/>
          <w:sz w:val="28"/>
          <w:szCs w:val="28"/>
        </w:rPr>
        <w:t xml:space="preserve"> порядке регулирования отношений, связанных с формированием, финансовым о</w:t>
      </w:r>
      <w:r>
        <w:rPr>
          <w:b w:val="0"/>
          <w:bCs w:val="0"/>
          <w:sz w:val="28"/>
          <w:szCs w:val="28"/>
        </w:rPr>
        <w:t xml:space="preserve">беспечением наказов избирателей</w:t>
      </w:r>
      <w:r>
        <w:rPr>
          <w:b w:val="0"/>
          <w:bCs w:val="0"/>
          <w:sz w:val="28"/>
          <w:szCs w:val="28"/>
        </w:rPr>
        <w:t xml:space="preserve"> в Петропавловск-Камчатском городском округе и контролем за их выполнением»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внесенный председател</w:t>
      </w:r>
      <w:r>
        <w:rPr>
          <w:sz w:val="28"/>
          <w:szCs w:val="28"/>
        </w:rPr>
        <w:t xml:space="preserve">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  <w:br/>
      </w:r>
      <w:r>
        <w:rPr>
          <w:sz w:val="28"/>
          <w:szCs w:val="28"/>
        </w:rPr>
        <w:t xml:space="preserve">Лимановым А.С.</w:t>
      </w:r>
      <w:r>
        <w:rPr>
          <w:sz w:val="28"/>
          <w:szCs w:val="28"/>
        </w:rPr>
        <w:t xml:space="preserve">, в со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тветствии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статьей 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Петропавловск-Камчатского городского округа</w:t>
      </w:r>
      <w:r>
        <w:rPr>
          <w:sz w:val="28"/>
          <w:szCs w:val="28"/>
        </w:rPr>
        <w:t xml:space="preserve"> Городская Дума Петропавловск-Камчатского городского округа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right="-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РЕШИЛА: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5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Принять Решение о </w:t>
      </w:r>
      <w:r>
        <w:rPr>
          <w:sz w:val="28"/>
          <w:szCs w:val="28"/>
        </w:rPr>
        <w:t xml:space="preserve">внесении изменени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Городской Думы Петропавловск-Камчатского городского округа </w:t>
      </w:r>
      <w:r>
        <w:rPr>
          <w:sz w:val="28"/>
          <w:szCs w:val="28"/>
        </w:rPr>
        <w:t xml:space="preserve">от 26.06.2013 № 90-нд </w:t>
        <w:br/>
        <w:t xml:space="preserve"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Cs/>
          <w:sz w:val="28"/>
          <w:szCs w:val="28"/>
        </w:rPr>
        <w:t xml:space="preserve">Направить принятое Решение </w:t>
      </w:r>
      <w:r>
        <w:rPr>
          <w:bCs/>
          <w:sz w:val="28"/>
          <w:szCs w:val="28"/>
        </w:rPr>
        <w:t xml:space="preserve">Главе</w:t>
      </w:r>
      <w:r>
        <w:rPr>
          <w:bCs/>
          <w:sz w:val="28"/>
          <w:szCs w:val="28"/>
        </w:rPr>
        <w:t xml:space="preserve"> Петропавловск-Камчатского</w:t>
        <w:br/>
      </w:r>
      <w:r>
        <w:rPr>
          <w:bCs/>
          <w:sz w:val="28"/>
          <w:szCs w:val="28"/>
        </w:rPr>
        <w:t xml:space="preserve">городского округа для подписания и обнародования.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39" w:type="dxa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145"/>
        <w:gridCol w:w="1417"/>
        <w:gridCol w:w="4077"/>
      </w:tblGrid>
      <w:tr>
        <w:tblPrEx/>
        <w:trPr>
          <w:trHeight w:val="35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45" w:type="dxa"/>
            <w:vAlign w:val="top"/>
            <w:textDirection w:val="lrTb"/>
            <w:noWrap w:val="false"/>
          </w:tcPr>
          <w:p>
            <w:pPr>
              <w:pStyle w:val="885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редседател</w:t>
            </w:r>
            <w:r>
              <w:rPr>
                <w:sz w:val="28"/>
                <w:szCs w:val="28"/>
              </w:rPr>
              <w:t xml:space="preserve">ь</w:t>
            </w:r>
            <w:r>
              <w:rPr>
                <w:sz w:val="28"/>
                <w:szCs w:val="28"/>
              </w:rPr>
              <w:t xml:space="preserve"> Городской Думы Петропавловск-Камчатского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885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городского округа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077" w:type="dxa"/>
            <w:vAlign w:val="bottom"/>
            <w:textDirection w:val="lrTb"/>
            <w:noWrap w:val="false"/>
          </w:tcPr>
          <w:p>
            <w:pPr>
              <w:pStyle w:val="885"/>
              <w:ind w:right="-11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А.С. Лиманов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both"/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1134" w:left="1701" w:header="567" w:footer="567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margin" w:tblpXSpec="center" w:vertAnchor="text" w:tblpY="20" w:leftFromText="181" w:topFromText="0" w:rightFromText="181" w:bottomFromText="0"/>
        <w:tblW w:w="9674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674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74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rFonts w:ascii="Bookman Old Style" w:hAnsi="Bookman Old Style"/>
                <w:sz w:val="30"/>
                <w:szCs w:val="30"/>
              </w:rPr>
              <w:framePr w:hSpace="181" w:wrap="around" w:vAnchor="text" w:hAnchor="margin" w:xAlign="center" w:y="2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6684" cy="998654"/>
                      <wp:effectExtent l="0" t="0" r="0" b="0"/>
                      <wp:docPr id="4" name="_x0000_i102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6684" cy="998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9.50pt;height:78.63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</w:r>
            <w:r>
              <w:rPr>
                <w:rFonts w:ascii="Bookman Old Style" w:hAnsi="Bookman Old Style"/>
                <w:sz w:val="30"/>
                <w:szCs w:val="30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74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rFonts w:ascii="Bookman Old Style" w:hAnsi="Bookman Old Style"/>
                <w:sz w:val="30"/>
                <w:szCs w:val="30"/>
              </w:rPr>
              <w:framePr w:hSpace="181" w:wrap="around" w:vAnchor="text" w:hAnchor="margin" w:xAlign="center" w:y="20"/>
            </w:pPr>
            <w:r>
              <w:rPr>
                <w:rFonts w:ascii="Bookman Old Style" w:hAnsi="Bookman Old Style"/>
                <w:sz w:val="30"/>
                <w:szCs w:val="30"/>
              </w:rPr>
              <w:t xml:space="preserve">ГОРОДСКАЯ ДУМА</w:t>
            </w:r>
            <w:r>
              <w:rPr>
                <w:rFonts w:ascii="Bookman Old Style" w:hAnsi="Bookman Old Style"/>
                <w:sz w:val="30"/>
                <w:szCs w:val="30"/>
              </w:rPr>
            </w:r>
            <w:r>
              <w:rPr>
                <w:rFonts w:ascii="Bookman Old Style" w:hAnsi="Bookman Old Style"/>
                <w:sz w:val="30"/>
                <w:szCs w:val="30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74" w:type="dxa"/>
            <w:vAlign w:val="top"/>
            <w:textDirection w:val="lrTb"/>
            <w:noWrap w:val="false"/>
          </w:tcPr>
          <w:p>
            <w:pPr>
              <w:pStyle w:val="885"/>
              <w:jc w:val="center"/>
              <w:rPr>
                <w:rFonts w:ascii="Bookman Old Style" w:hAnsi="Bookman Old Style"/>
                <w:sz w:val="30"/>
                <w:szCs w:val="30"/>
              </w:rPr>
              <w:framePr w:hSpace="181" w:wrap="around" w:vAnchor="text" w:hAnchor="margin" w:xAlign="center" w:y="20"/>
            </w:pPr>
            <w:r>
              <w:rPr>
                <w:rFonts w:ascii="Bookman Old Style" w:hAnsi="Bookman Old Style"/>
                <w:sz w:val="30"/>
                <w:szCs w:val="30"/>
              </w:rPr>
              <w:t xml:space="preserve">ПЕТРОПАВЛОВСК-КАМЧАТСКОГО ГОРОДСКОГО ОКРУГА</w:t>
            </w:r>
            <w:r>
              <w:rPr>
                <w:rFonts w:ascii="Bookman Old Style" w:hAnsi="Bookman Old Style"/>
                <w:sz w:val="30"/>
                <w:szCs w:val="30"/>
              </w:rPr>
            </w:r>
            <w:r>
              <w:rPr>
                <w:rFonts w:ascii="Bookman Old Style" w:hAnsi="Bookman Old Style"/>
                <w:sz w:val="30"/>
                <w:szCs w:val="30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674" w:type="dxa"/>
            <w:vAlign w:val="top"/>
            <w:textDirection w:val="lrTb"/>
            <w:noWrap w:val="false"/>
          </w:tcPr>
          <w:p>
            <w:pPr>
              <w:pStyle w:val="885"/>
              <w:tabs>
                <w:tab w:val="left" w:pos="330" w:leader="none"/>
                <w:tab w:val="center" w:pos="4729" w:leader="none"/>
              </w:tabs>
              <w:rPr>
                <w:sz w:val="20"/>
                <w:szCs w:val="20"/>
              </w:rPr>
              <w:framePr w:hSpace="181" w:wrap="around" w:vAnchor="text" w:hAnchor="margin" w:xAlign="center" w:y="20"/>
            </w:pPr>
            <w:r>
              <w:rPr>
                <w:sz w:val="20"/>
                <w:szCs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4561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65609</wp:posOffset>
                      </wp:positionV>
                      <wp:extent cx="6122458" cy="360"/>
                      <wp:effectExtent l="3174" t="3174" r="3174" b="3174"/>
                      <wp:wrapNone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6122458" cy="360"/>
                              </a:xfrm>
                              <a:prstGeom prst="line">
                                <a:avLst/>
                              </a:prstGeom>
                              <a:ln w="6349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4" o:spid="_x0000_s4" style="position:absolute;left:0;text-align:left;z-index:251714561;mso-wrap-distance-left:9.07pt;mso-wrap-distance-top:0.00pt;mso-wrap-distance-right:9.07pt;mso-wrap-distance-bottom:0.00pt;visibility:visible;" from="-4.5pt,5.2pt" to="477.6pt,5.2pt" filled="f" strokecolor="#000000" strokeweight="0.50pt">
                      <v:stroke dashstyle="solid"/>
                    </v:lin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2513" behindDoc="0" locked="0" layoutInCell="1" allowOverlap="1">
                      <wp:simplePos x="0" y="0"/>
                      <wp:positionH relativeFrom="column">
                        <wp:posOffset>-62535</wp:posOffset>
                      </wp:positionH>
                      <wp:positionV relativeFrom="paragraph">
                        <wp:posOffset>85825</wp:posOffset>
                      </wp:positionV>
                      <wp:extent cx="6127750" cy="0"/>
                      <wp:effectExtent l="4762" t="4762" r="4762" b="4762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6127749" cy="0"/>
                              </a:xfrm>
                              <a:prstGeom prst="line">
                                <a:avLst/>
                              </a:prstGeom>
                              <a:ln w="19049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" o:spid="_x0000_s5" style="position:absolute;left:0;text-align:left;z-index:251712513;mso-wrap-distance-left:9.07pt;mso-wrap-distance-top:0.00pt;mso-wrap-distance-right:9.07pt;mso-wrap-distance-bottom:0.00pt;visibility:visible;" from="-4.9pt,6.8pt" to="477.6pt,6.8pt" filled="f" strokecolor="#000000" strokeweight="1.50pt">
                      <v:stroke dashstyle="solid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93"/>
        <w:jc w:val="center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893"/>
        <w:jc w:val="center"/>
        <w:widowControl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РЕШЕНИЕ</w:t>
      </w:r>
      <w:r>
        <w:rPr>
          <w:rFonts w:ascii="Times New Roman" w:hAnsi="Times New Roman" w:cs="Times New Roman"/>
          <w:sz w:val="36"/>
          <w:szCs w:val="36"/>
        </w:rPr>
      </w:r>
      <w:r>
        <w:rPr>
          <w:rFonts w:ascii="Times New Roman" w:hAnsi="Times New Roman" w:cs="Times New Roman"/>
          <w:sz w:val="36"/>
          <w:szCs w:val="36"/>
        </w:rPr>
      </w:r>
    </w:p>
    <w:p>
      <w:pPr>
        <w:pStyle w:val="893"/>
        <w:jc w:val="center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88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___________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_______</w:t>
      </w:r>
      <w:r>
        <w:rPr>
          <w:sz w:val="28"/>
          <w:szCs w:val="28"/>
        </w:rPr>
        <w:t xml:space="preserve">-нд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внесении изменений в Решение Городской Думы Петропавловск-Камчатского городского округа </w:t>
      </w:r>
      <w:r>
        <w:rPr>
          <w:b/>
          <w:sz w:val="28"/>
          <w:szCs w:val="28"/>
        </w:rPr>
        <w:t xml:space="preserve">от 26.06.2013 № 90-нд 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5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885"/>
        <w:jc w:val="center"/>
        <w:rPr>
          <w:i/>
        </w:rPr>
      </w:pPr>
      <w:r>
        <w:rPr>
          <w:i/>
        </w:rPr>
        <w:t xml:space="preserve">Принято Городской Думой</w:t>
      </w:r>
      <w:r>
        <w:rPr>
          <w:i/>
        </w:rPr>
        <w:t xml:space="preserve"> </w:t>
      </w:r>
      <w:r>
        <w:rPr>
          <w:i/>
        </w:rPr>
        <w:t xml:space="preserve">Петропавловск-Камчатского городского округа</w:t>
      </w:r>
      <w:r>
        <w:rPr>
          <w:i/>
        </w:rPr>
      </w:r>
      <w:r>
        <w:rPr>
          <w:i/>
        </w:rPr>
      </w:r>
    </w:p>
    <w:p>
      <w:pPr>
        <w:pStyle w:val="885"/>
        <w:jc w:val="center"/>
        <w:rPr>
          <w:i/>
        </w:rPr>
      </w:pPr>
      <w:r>
        <w:rPr>
          <w:i/>
        </w:rPr>
        <w:t xml:space="preserve">(решение от </w:t>
      </w:r>
      <w:r>
        <w:rPr>
          <w:i/>
        </w:rPr>
        <w:t xml:space="preserve">___________</w:t>
      </w:r>
      <w:r>
        <w:rPr>
          <w:i/>
        </w:rPr>
        <w:t xml:space="preserve"> </w:t>
      </w:r>
      <w:r>
        <w:rPr>
          <w:i/>
        </w:rPr>
        <w:t xml:space="preserve">№</w:t>
      </w:r>
      <w:r>
        <w:rPr>
          <w:i/>
        </w:rPr>
        <w:t xml:space="preserve"> </w:t>
      </w:r>
      <w:r>
        <w:rPr>
          <w:i/>
        </w:rPr>
        <w:t xml:space="preserve">______</w:t>
      </w:r>
      <w:r>
        <w:rPr>
          <w:i/>
        </w:rPr>
        <w:t xml:space="preserve">-р)</w:t>
      </w:r>
      <w:r>
        <w:rPr>
          <w:i/>
        </w:rPr>
      </w:r>
      <w:r>
        <w:rPr>
          <w:i/>
        </w:rPr>
      </w:r>
    </w:p>
    <w:p>
      <w:pPr>
        <w:pStyle w:val="885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В статье 3.1: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абзац второй части 2 изложить в следующей редакции:</w:t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sz w:val="28"/>
          <w:szCs w:val="28"/>
          <w:highlight w:val="none"/>
        </w:rPr>
        <w:t xml:space="preserve">Глава городского округа либо по его поручению Управление финансов</w:t>
      </w:r>
      <w:r>
        <w:rPr>
          <w:sz w:val="28"/>
          <w:szCs w:val="28"/>
          <w:highlight w:val="none"/>
        </w:rPr>
        <w:t xml:space="preserve"> администрации Петропавловск-Камчатского городского округа </w:t>
        <w:br/>
        <w:t xml:space="preserve">(далее – Управление финансов)</w:t>
      </w:r>
      <w:r>
        <w:rPr>
          <w:sz w:val="28"/>
          <w:szCs w:val="28"/>
          <w:highlight w:val="none"/>
        </w:rPr>
        <w:t xml:space="preserve"> в течение 15 календарных дней со дня получения предложений подготавливает и направляет председателю Городской Думы мотивированное заключение. В</w:t>
      </w:r>
      <w:r>
        <w:rPr>
          <w:sz w:val="28"/>
          <w:szCs w:val="28"/>
          <w:highlight w:val="none"/>
        </w:rPr>
        <w:t xml:space="preserve"> случае подготовки </w:t>
      </w:r>
      <w:r>
        <w:rPr>
          <w:sz w:val="28"/>
          <w:szCs w:val="28"/>
          <w:highlight w:val="none"/>
        </w:rPr>
        <w:t xml:space="preserve">и направления </w:t>
      </w:r>
      <w:r>
        <w:rPr>
          <w:sz w:val="28"/>
          <w:szCs w:val="28"/>
          <w:highlight w:val="none"/>
        </w:rPr>
        <w:t xml:space="preserve">председателю Городской Думы </w:t>
      </w:r>
      <w:r>
        <w:rPr>
          <w:sz w:val="28"/>
          <w:szCs w:val="28"/>
          <w:highlight w:val="none"/>
        </w:rPr>
        <w:t xml:space="preserve">мотивированного заключения </w:t>
      </w:r>
      <w:r>
        <w:rPr>
          <w:sz w:val="28"/>
          <w:szCs w:val="28"/>
          <w:highlight w:val="none"/>
        </w:rPr>
        <w:t xml:space="preserve">Управлением финансов</w:t>
      </w:r>
      <w:r>
        <w:rPr>
          <w:sz w:val="28"/>
          <w:szCs w:val="28"/>
          <w:highlight w:val="none"/>
        </w:rPr>
        <w:t xml:space="preserve"> мотивированное заключение подписывается руководителем Управления финансов</w:t>
      </w:r>
      <w:r>
        <w:rPr>
          <w:sz w:val="28"/>
          <w:szCs w:val="28"/>
          <w:highlight w:val="none"/>
        </w:rPr>
        <w:t xml:space="preserve">.</w:t>
      </w:r>
      <w:r>
        <w:rPr>
          <w:sz w:val="28"/>
          <w:szCs w:val="28"/>
          <w:highlight w:val="none"/>
        </w:rPr>
        <w:t xml:space="preserve">»;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2) часть 3 изложить в </w:t>
      </w:r>
      <w:r>
        <w:rPr>
          <w:sz w:val="28"/>
          <w:szCs w:val="28"/>
        </w:rPr>
        <w:t xml:space="preserve">следующей редакции: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«</w:t>
      </w:r>
      <w:r>
        <w:rPr>
          <w:sz w:val="28"/>
          <w:szCs w:val="28"/>
          <w:highlight w:val="none"/>
        </w:rPr>
        <w:t xml:space="preserve">3. Перечень предложений депутатов Городской Думы и мотивированное заключение, указанное в части 2 настоящей статьи, в течение 5 календарных дней со дня получения мотивированного заключения направляются председателем Городской Думы в профильный коми</w:t>
      </w:r>
      <w:r>
        <w:rPr>
          <w:sz w:val="28"/>
          <w:szCs w:val="28"/>
          <w:highlight w:val="none"/>
        </w:rPr>
        <w:t xml:space="preserve">тет Городской Думы.»;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3) абзац второй части 4 </w:t>
      </w:r>
      <w:r>
        <w:rPr>
          <w:sz w:val="28"/>
          <w:szCs w:val="28"/>
          <w:highlight w:val="none"/>
        </w:rPr>
        <w:t xml:space="preserve">изложить в </w:t>
      </w:r>
      <w:r>
        <w:rPr>
          <w:sz w:val="28"/>
          <w:szCs w:val="28"/>
        </w:rPr>
        <w:t xml:space="preserve">следующей редакции: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случае получения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мотивированного заключения о невозможности</w:t>
      </w:r>
      <w:r>
        <w:rPr>
          <w:rFonts w:ascii="Times New Roman" w:hAnsi="Times New Roman" w:cs="Times New Roman"/>
          <w:sz w:val="28"/>
          <w:szCs w:val="28"/>
        </w:rPr>
        <w:t xml:space="preserve"> перераспределения денежны</w:t>
      </w:r>
      <w:r>
        <w:rPr>
          <w:rFonts w:ascii="Times New Roman" w:hAnsi="Times New Roman" w:cs="Times New Roman"/>
          <w:sz w:val="28"/>
          <w:szCs w:val="28"/>
        </w:rPr>
        <w:t xml:space="preserve">х средств, </w:t>
      </w:r>
      <w:r>
        <w:rPr>
          <w:rFonts w:ascii="Times New Roman" w:hAnsi="Times New Roman" w:cs="Times New Roman"/>
          <w:sz w:val="28"/>
          <w:szCs w:val="28"/>
        </w:rPr>
        <w:t xml:space="preserve">о невозможности изменения содержания наказов, определения объема финансовых средств (в пределах утвержденных бюджетных ассигнований на текущий финансовый год), необходимых для их реализации,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председатель Городской Думы в течение 5 календарных дней со дня получения мотивированного заключения направляет его для сведения в профильный комитет и депутатам Городской Дум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ы.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5"/>
        <w:ind w:firstLine="709"/>
        <w:jc w:val="both"/>
        <w:rPr>
          <w:sz w:val="28"/>
          <w:szCs w:val="28"/>
          <w:highlight w:val="none"/>
        </w:rPr>
      </w:pPr>
      <w:r>
        <w:rPr>
          <w:rFonts w:eastAsia="Calibri"/>
          <w:sz w:val="28"/>
          <w:szCs w:val="28"/>
        </w:rPr>
        <w:t xml:space="preserve">2</w:t>
      </w:r>
      <w:r>
        <w:rPr>
          <w:rFonts w:eastAsia="Calibri"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Настоящее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вступает в</w:t>
      </w:r>
      <w:r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дня </w:t>
      </w:r>
      <w:r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официального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опубликования.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651"/>
        <w:gridCol w:w="3625"/>
        <w:gridCol w:w="2471"/>
      </w:tblGrid>
      <w:tr>
        <w:tblPrEx/>
        <w:trPr>
          <w:trHeight w:val="907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651" w:type="dxa"/>
            <w:vAlign w:val="top"/>
            <w:textDirection w:val="lrTb"/>
            <w:noWrap w:val="false"/>
          </w:tcPr>
          <w:p>
            <w:pPr>
              <w:pStyle w:val="885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исполняющий полномочия Главы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sz w:val="28"/>
                <w:szCs w:val="28"/>
              </w:rPr>
              <w:t xml:space="preserve">Петропавловск-Камчатского городского округа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625" w:type="dxa"/>
            <w:vAlign w:val="top"/>
            <w:textDirection w:val="lrTb"/>
            <w:noWrap w:val="false"/>
          </w:tcPr>
          <w:p>
            <w:pPr>
              <w:pStyle w:val="885"/>
              <w:contextualSpacing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1" w:type="dxa"/>
            <w:vAlign w:val="bottom"/>
            <w:textDirection w:val="lrTb"/>
            <w:noWrap w:val="false"/>
          </w:tcPr>
          <w:p>
            <w:pPr>
              <w:pStyle w:val="885"/>
              <w:contextualSpacing/>
              <w:ind w:right="-109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Воровский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85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rPr>
          <w:b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567" w:footer="567" w:gutter="0"/>
          <w:pgNumType w:start="1"/>
          <w:cols w:num="1" w:sep="0" w:space="708" w:equalWidth="1"/>
          <w:docGrid w:linePitch="360"/>
          <w:titlePg/>
        </w:sect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ПОЯСНИТЕЛЬНАЯ ЗАПИСКА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проекту решения Городской Думы Петропавловск-Камчатского городск</w:t>
      </w:r>
      <w:r>
        <w:rPr>
          <w:b/>
          <w:sz w:val="28"/>
          <w:szCs w:val="28"/>
        </w:rPr>
        <w:t xml:space="preserve">ого округа «</w:t>
      </w:r>
      <w:r>
        <w:rPr>
          <w:b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>
        <w:rPr>
          <w:b/>
          <w:sz w:val="28"/>
          <w:szCs w:val="28"/>
        </w:rPr>
        <w:t xml:space="preserve">от 26.06.2013 № 90-нд </w:t>
        <w:br/>
        <w:t xml:space="preserve"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5"/>
        <w:ind w:firstLine="709"/>
        <w:jc w:val="both"/>
        <w:tabs>
          <w:tab w:val="left" w:pos="795" w:leader="none"/>
        </w:tabs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Проект</w:t>
      </w:r>
      <w:r>
        <w:rPr>
          <w:rFonts w:eastAsia="Calibri"/>
          <w:bCs/>
          <w:sz w:val="28"/>
          <w:szCs w:val="28"/>
        </w:rPr>
        <w:t xml:space="preserve"> решения Городской Думы Петропавловск-Камчатского городск</w:t>
      </w:r>
      <w:r>
        <w:rPr>
          <w:rFonts w:eastAsia="Calibri"/>
          <w:bCs/>
          <w:sz w:val="28"/>
          <w:szCs w:val="28"/>
        </w:rPr>
        <w:t xml:space="preserve">ого округа «</w:t>
      </w:r>
      <w:r>
        <w:rPr>
          <w:rFonts w:eastAsia="Calibri"/>
          <w:bCs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>
        <w:rPr>
          <w:rFonts w:eastAsia="Calibri"/>
          <w:bCs/>
          <w:sz w:val="28"/>
          <w:szCs w:val="28"/>
        </w:rPr>
        <w:t xml:space="preserve">от 26.06.2013 № 90-нд </w:t>
        <w:br/>
        <w:t xml:space="preserve"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  <w:r>
        <w:rPr>
          <w:rFonts w:eastAsia="Calibri"/>
          <w:bCs/>
          <w:sz w:val="28"/>
          <w:szCs w:val="28"/>
        </w:rPr>
        <w:t xml:space="preserve"> (далее – проект решения) </w:t>
      </w:r>
      <w:r>
        <w:rPr>
          <w:bCs/>
          <w:color w:val="000000"/>
          <w:sz w:val="28"/>
          <w:szCs w:val="28"/>
        </w:rPr>
        <w:t xml:space="preserve">разработан</w:t>
      </w:r>
      <w:r>
        <w:t xml:space="preserve"> </w:t>
      </w:r>
      <w:r>
        <w:rPr>
          <w:bCs/>
          <w:color w:val="000000"/>
          <w:sz w:val="28"/>
          <w:szCs w:val="28"/>
        </w:rPr>
        <w:t xml:space="preserve">в соответствии </w:t>
      </w:r>
      <w:r>
        <w:rPr>
          <w:bCs/>
          <w:color w:val="000000"/>
          <w:sz w:val="28"/>
          <w:szCs w:val="28"/>
        </w:rPr>
        <w:t xml:space="preserve">со статьей 25 Устава Петропавловск-Камчатского городского 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none"/>
        </w:rPr>
        <w:t xml:space="preserve">оптимизации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</w:rPr>
        <w:t xml:space="preserve">процесса </w:t>
      </w:r>
      <w:r>
        <w:rPr>
          <w:sz w:val="28"/>
          <w:szCs w:val="28"/>
        </w:rPr>
        <w:t xml:space="preserve">рассмотрения предложений депутатов Городской Думы </w:t>
      </w:r>
      <w:r>
        <w:rPr>
          <w:rFonts w:eastAsia="Calibri"/>
          <w:bCs/>
          <w:sz w:val="28"/>
          <w:szCs w:val="28"/>
        </w:rPr>
        <w:t xml:space="preserve">Петропавловск-Камчатского городск</w:t>
      </w:r>
      <w:r>
        <w:rPr>
          <w:rFonts w:eastAsia="Calibri"/>
          <w:bCs/>
          <w:sz w:val="28"/>
          <w:szCs w:val="28"/>
        </w:rPr>
        <w:t xml:space="preserve">ого округа (далее – Городская Дума) </w:t>
      </w:r>
      <w:r>
        <w:rPr>
          <w:sz w:val="28"/>
          <w:szCs w:val="28"/>
        </w:rPr>
        <w:t xml:space="preserve">о внесении изменений в перечень наказов</w:t>
      </w:r>
      <w:r>
        <w:rPr>
          <w:sz w:val="28"/>
          <w:szCs w:val="28"/>
        </w:rPr>
        <w:t xml:space="preserve"> избирателей.</w:t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ind w:firstLine="709"/>
        <w:jc w:val="both"/>
        <w:tabs>
          <w:tab w:val="left" w:pos="79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Для ускорения процесса получения мотивированного </w:t>
      </w:r>
      <w:r>
        <w:rPr>
          <w:sz w:val="28"/>
          <w:szCs w:val="28"/>
          <w:highlight w:val="none"/>
        </w:rPr>
        <w:t xml:space="preserve">заключения, необходимого для внесения изменений </w:t>
      </w:r>
      <w:r>
        <w:rPr>
          <w:sz w:val="28"/>
          <w:szCs w:val="28"/>
          <w:highlight w:val="none"/>
        </w:rPr>
        <w:t xml:space="preserve">в перечень наказов избирателей</w:t>
      </w:r>
      <w:r>
        <w:rPr>
          <w:sz w:val="28"/>
          <w:szCs w:val="28"/>
          <w:highlight w:val="none"/>
        </w:rPr>
        <w:t xml:space="preserve">, проектом решения предлагается установить, что помимо Главы </w:t>
      </w:r>
      <w:r>
        <w:rPr>
          <w:bCs/>
          <w:color w:val="000000"/>
          <w:sz w:val="28"/>
          <w:szCs w:val="28"/>
        </w:rPr>
        <w:t xml:space="preserve">Петропавловск-Камчатского городского округа</w:t>
      </w:r>
      <w:r>
        <w:rPr>
          <w:bCs/>
          <w:color w:val="000000"/>
          <w:sz w:val="28"/>
          <w:szCs w:val="28"/>
        </w:rPr>
        <w:t xml:space="preserve"> указанное мотивированное заключение</w:t>
      </w:r>
      <w:r>
        <w:rPr>
          <w:bCs/>
          <w:color w:val="000000"/>
          <w:sz w:val="28"/>
          <w:szCs w:val="28"/>
        </w:rPr>
        <w:t xml:space="preserve"> по его поручению может подготавливать и направлять председателю </w:t>
      </w:r>
      <w:r>
        <w:rPr>
          <w:rFonts w:eastAsia="Calibri"/>
          <w:bCs/>
          <w:sz w:val="28"/>
          <w:szCs w:val="28"/>
        </w:rPr>
        <w:t xml:space="preserve">Городской Думы </w:t>
      </w:r>
      <w:r>
        <w:rPr>
          <w:sz w:val="28"/>
          <w:szCs w:val="28"/>
          <w:highlight w:val="none"/>
        </w:rPr>
      </w:r>
    </w:p>
    <w:p>
      <w:pPr>
        <w:ind w:firstLine="0"/>
        <w:jc w:val="both"/>
        <w:tabs>
          <w:tab w:val="left" w:pos="79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Управление финансов</w:t>
      </w:r>
      <w:r>
        <w:rPr>
          <w:sz w:val="28"/>
          <w:szCs w:val="28"/>
          <w:highlight w:val="none"/>
        </w:rPr>
        <w:t xml:space="preserve"> администрации Петропавловск-Камчатского городского округа (далее – Управление)</w:t>
      </w:r>
      <w:r>
        <w:rPr>
          <w:sz w:val="28"/>
          <w:szCs w:val="28"/>
          <w:highlight w:val="none"/>
        </w:rPr>
        <w:t xml:space="preserve">. В таком случае мотивированное заключение подписывается руководителем Управления.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0" w:right="0" w:firstLine="709"/>
        <w:jc w:val="both"/>
        <w:tabs>
          <w:tab w:val="left" w:pos="79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rFonts w:eastAsia="Calibri"/>
          <w:bCs/>
          <w:sz w:val="28"/>
          <w:szCs w:val="28"/>
        </w:rPr>
        <w:t xml:space="preserve">Принятие проекта решения не повлечет дополнительных расходов бюджета Петропавловск-Камчатского городского округа.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проекта решения не требуются внесение изменений, п</w:t>
      </w:r>
      <w:r>
        <w:rPr>
          <w:rFonts w:eastAsia="Calibri"/>
          <w:bCs/>
          <w:sz w:val="28"/>
          <w:szCs w:val="28"/>
        </w:rPr>
        <w:t xml:space="preserve">ризнание утратившими силу, прекращение (</w:t>
      </w:r>
      <w:r>
        <w:rPr>
          <w:sz w:val="28"/>
          <w:szCs w:val="28"/>
        </w:rPr>
        <w:t xml:space="preserve">приостановление) или дополнение иных решений Городской Думы или отдельных их положений.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решения не устанавливает новые</w:t>
      </w:r>
      <w:r>
        <w:rPr>
          <w:sz w:val="28"/>
          <w:szCs w:val="28"/>
        </w:rPr>
        <w:t xml:space="preserve"> и не изменяет ранее предусмотренные обязательные требования для субъектов предпринимательской и иной экономической деятельности, обязанности для субъектов инвестиционной деятельности, в связи с чем проведение оценки регулирующего воздействия не требуется.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885"/>
        <w:rPr>
          <w:sz w:val="28"/>
          <w:szCs w:val="28"/>
        </w:rPr>
      </w:pPr>
      <w:r>
        <w:rPr>
          <w:sz w:val="28"/>
          <w:szCs w:val="28"/>
        </w:rPr>
        <w:t xml:space="preserve">07</w:t>
      </w:r>
      <w:r>
        <w:rPr>
          <w:sz w:val="28"/>
          <w:szCs w:val="28"/>
        </w:rPr>
        <w:t xml:space="preserve">.0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.2026                                                            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В.В. Ганина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567" w:bottom="1134" w:left="1701" w:header="567" w:footer="567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ourier New">
    <w:panose1 w:val="02070309020205020404"/>
  </w:font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Bookman Old Style">
    <w:panose1 w:val="02050604050505020204"/>
  </w:font>
  <w:font w:name="Calibri Light">
    <w:panose1 w:val="020F0302020204030204"/>
  </w:font>
  <w:font w:name="Arial">
    <w:panose1 w:val="020B0604020202020204"/>
  </w:font>
  <w:font w:name="Liberation Sans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9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PAGE   \* MERGEFORMAT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  <w:p>
    <w:pPr>
      <w:pStyle w:val="90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eastAsia="Calibri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3" w:hanging="375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19" w:hanging="111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5"/>
  </w:num>
  <w:num w:numId="5">
    <w:abstractNumId w:val="2"/>
  </w:num>
  <w:num w:numId="6">
    <w:abstractNumId w:val="0"/>
  </w:num>
  <w:num w:numId="7">
    <w:abstractNumId w:val="13"/>
  </w:num>
  <w:num w:numId="8">
    <w:abstractNumId w:val="4"/>
  </w:num>
  <w:num w:numId="9">
    <w:abstractNumId w:val="1"/>
  </w:num>
  <w:num w:numId="10">
    <w:abstractNumId w:val="7"/>
  </w:num>
  <w:num w:numId="11">
    <w:abstractNumId w:val="14"/>
  </w:num>
  <w:num w:numId="12">
    <w:abstractNumId w:val="11"/>
  </w:num>
  <w:num w:numId="13">
    <w:abstractNumId w:val="8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7">
    <w:name w:val="Heading 1"/>
    <w:basedOn w:val="885"/>
    <w:next w:val="885"/>
    <w:link w:val="708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708">
    <w:name w:val="Heading 1 Char"/>
    <w:link w:val="707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709">
    <w:name w:val="Heading 2"/>
    <w:basedOn w:val="885"/>
    <w:next w:val="885"/>
    <w:link w:val="710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710">
    <w:name w:val="Heading 2 Char"/>
    <w:link w:val="709"/>
    <w:uiPriority w:val="9"/>
    <w:rPr>
      <w:rFonts w:ascii="Liberation Sans" w:hAnsi="Liberation Sans" w:eastAsia="Liberation Sans" w:cs="Liberation Sans"/>
      <w:sz w:val="34"/>
    </w:rPr>
  </w:style>
  <w:style w:type="paragraph" w:styleId="711">
    <w:name w:val="Heading 3"/>
    <w:basedOn w:val="885"/>
    <w:next w:val="885"/>
    <w:link w:val="712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712">
    <w:name w:val="Heading 3 Char"/>
    <w:link w:val="711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713">
    <w:name w:val="Heading 4"/>
    <w:basedOn w:val="885"/>
    <w:next w:val="885"/>
    <w:link w:val="714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714">
    <w:name w:val="Heading 4 Char"/>
    <w:link w:val="713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715">
    <w:name w:val="Heading 5"/>
    <w:basedOn w:val="885"/>
    <w:next w:val="885"/>
    <w:link w:val="716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716">
    <w:name w:val="Heading 5 Char"/>
    <w:link w:val="715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717">
    <w:name w:val="Heading 6"/>
    <w:basedOn w:val="885"/>
    <w:next w:val="885"/>
    <w:link w:val="718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718">
    <w:name w:val="Heading 6 Char"/>
    <w:link w:val="717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719">
    <w:name w:val="Heading 7"/>
    <w:basedOn w:val="885"/>
    <w:next w:val="885"/>
    <w:link w:val="720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720">
    <w:name w:val="Heading 7 Char"/>
    <w:link w:val="719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721">
    <w:name w:val="Heading 8"/>
    <w:basedOn w:val="885"/>
    <w:next w:val="885"/>
    <w:link w:val="722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722">
    <w:name w:val="Heading 8 Char"/>
    <w:link w:val="721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723">
    <w:name w:val="Heading 9"/>
    <w:basedOn w:val="885"/>
    <w:next w:val="885"/>
    <w:link w:val="724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724">
    <w:name w:val="Heading 9 Char"/>
    <w:link w:val="723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725">
    <w:name w:val="List Paragraph"/>
    <w:basedOn w:val="885"/>
    <w:uiPriority w:val="34"/>
    <w:qFormat/>
    <w:pPr>
      <w:contextualSpacing/>
      <w:ind w:left="720"/>
    </w:pPr>
  </w:style>
  <w:style w:type="paragraph" w:styleId="726">
    <w:name w:val="No Spacing"/>
    <w:uiPriority w:val="1"/>
    <w:qFormat/>
    <w:pPr>
      <w:spacing w:before="0" w:after="0" w:line="240" w:lineRule="auto"/>
    </w:pPr>
  </w:style>
  <w:style w:type="paragraph" w:styleId="727">
    <w:name w:val="Title"/>
    <w:basedOn w:val="885"/>
    <w:next w:val="885"/>
    <w:link w:val="7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8">
    <w:name w:val="Title Char"/>
    <w:link w:val="727"/>
    <w:uiPriority w:val="10"/>
    <w:rPr>
      <w:sz w:val="48"/>
      <w:szCs w:val="48"/>
    </w:rPr>
  </w:style>
  <w:style w:type="paragraph" w:styleId="729">
    <w:name w:val="Subtitle"/>
    <w:basedOn w:val="885"/>
    <w:next w:val="885"/>
    <w:link w:val="730"/>
    <w:uiPriority w:val="11"/>
    <w:qFormat/>
    <w:pPr>
      <w:spacing w:before="200" w:after="200"/>
    </w:pPr>
    <w:rPr>
      <w:sz w:val="24"/>
      <w:szCs w:val="24"/>
    </w:rPr>
  </w:style>
  <w:style w:type="character" w:styleId="730">
    <w:name w:val="Subtitle Char"/>
    <w:link w:val="729"/>
    <w:uiPriority w:val="11"/>
    <w:rPr>
      <w:sz w:val="24"/>
      <w:szCs w:val="24"/>
    </w:rPr>
  </w:style>
  <w:style w:type="paragraph" w:styleId="731">
    <w:name w:val="Quote"/>
    <w:basedOn w:val="885"/>
    <w:next w:val="885"/>
    <w:link w:val="732"/>
    <w:uiPriority w:val="29"/>
    <w:qFormat/>
    <w:pPr>
      <w:ind w:left="720" w:right="720"/>
    </w:pPr>
    <w:rPr>
      <w:i/>
    </w:rPr>
  </w:style>
  <w:style w:type="character" w:styleId="732">
    <w:name w:val="Quote Char"/>
    <w:link w:val="731"/>
    <w:uiPriority w:val="29"/>
    <w:rPr>
      <w:i/>
    </w:rPr>
  </w:style>
  <w:style w:type="paragraph" w:styleId="733">
    <w:name w:val="Intense Quote"/>
    <w:basedOn w:val="885"/>
    <w:next w:val="885"/>
    <w:link w:val="73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4">
    <w:name w:val="Intense Quote Char"/>
    <w:link w:val="733"/>
    <w:uiPriority w:val="30"/>
    <w:rPr>
      <w:i/>
    </w:rPr>
  </w:style>
  <w:style w:type="paragraph" w:styleId="735">
    <w:name w:val="Header"/>
    <w:basedOn w:val="885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6">
    <w:name w:val="Header Char"/>
    <w:link w:val="735"/>
    <w:uiPriority w:val="99"/>
  </w:style>
  <w:style w:type="paragraph" w:styleId="737">
    <w:name w:val="Footer"/>
    <w:basedOn w:val="885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8">
    <w:name w:val="Footer Char"/>
    <w:link w:val="737"/>
    <w:uiPriority w:val="99"/>
  </w:style>
  <w:style w:type="paragraph" w:styleId="739">
    <w:name w:val="Caption"/>
    <w:basedOn w:val="885"/>
    <w:next w:val="885"/>
    <w:link w:val="7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0">
    <w:name w:val="Caption Char"/>
    <w:link w:val="739"/>
    <w:uiPriority w:val="35"/>
    <w:rPr>
      <w:b/>
      <w:bCs/>
      <w:color w:val="4f81bd" w:themeColor="accent1"/>
      <w:sz w:val="18"/>
      <w:szCs w:val="18"/>
    </w:rPr>
  </w:style>
  <w:style w:type="table" w:styleId="74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4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4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7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7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8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8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8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8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8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8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9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2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2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2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2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3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3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3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4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84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84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84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84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84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84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7">
    <w:name w:val="Hyperlink"/>
    <w:uiPriority w:val="99"/>
    <w:unhideWhenUsed/>
    <w:rPr>
      <w:color w:val="0000ff" w:themeColor="hyperlink"/>
      <w:u w:val="single"/>
    </w:rPr>
  </w:style>
  <w:style w:type="paragraph" w:styleId="868">
    <w:name w:val="footnote text"/>
    <w:basedOn w:val="885"/>
    <w:link w:val="869"/>
    <w:uiPriority w:val="99"/>
    <w:semiHidden/>
    <w:unhideWhenUsed/>
    <w:pPr>
      <w:spacing w:after="40" w:line="240" w:lineRule="auto"/>
    </w:pPr>
    <w:rPr>
      <w:sz w:val="18"/>
    </w:rPr>
  </w:style>
  <w:style w:type="character" w:styleId="869">
    <w:name w:val="Footnote Text Char"/>
    <w:link w:val="868"/>
    <w:uiPriority w:val="99"/>
    <w:rPr>
      <w:sz w:val="18"/>
    </w:rPr>
  </w:style>
  <w:style w:type="character" w:styleId="870">
    <w:name w:val="footnote reference"/>
    <w:uiPriority w:val="99"/>
    <w:unhideWhenUsed/>
    <w:rPr>
      <w:vertAlign w:val="superscript"/>
    </w:rPr>
  </w:style>
  <w:style w:type="paragraph" w:styleId="871">
    <w:name w:val="endnote text"/>
    <w:basedOn w:val="885"/>
    <w:link w:val="872"/>
    <w:uiPriority w:val="99"/>
    <w:semiHidden/>
    <w:unhideWhenUsed/>
    <w:pPr>
      <w:spacing w:after="0" w:line="240" w:lineRule="auto"/>
    </w:pPr>
    <w:rPr>
      <w:sz w:val="20"/>
    </w:rPr>
  </w:style>
  <w:style w:type="character" w:styleId="872">
    <w:name w:val="Endnote Text Char"/>
    <w:link w:val="871"/>
    <w:uiPriority w:val="99"/>
    <w:rPr>
      <w:sz w:val="20"/>
    </w:rPr>
  </w:style>
  <w:style w:type="character" w:styleId="873">
    <w:name w:val="endnote reference"/>
    <w:uiPriority w:val="99"/>
    <w:semiHidden/>
    <w:unhideWhenUsed/>
    <w:rPr>
      <w:vertAlign w:val="superscript"/>
    </w:rPr>
  </w:style>
  <w:style w:type="paragraph" w:styleId="874">
    <w:name w:val="toc 1"/>
    <w:basedOn w:val="885"/>
    <w:next w:val="885"/>
    <w:uiPriority w:val="39"/>
    <w:unhideWhenUsed/>
    <w:pPr>
      <w:ind w:left="0" w:right="0" w:firstLine="0"/>
      <w:spacing w:after="57"/>
    </w:pPr>
  </w:style>
  <w:style w:type="paragraph" w:styleId="875">
    <w:name w:val="toc 2"/>
    <w:basedOn w:val="885"/>
    <w:next w:val="885"/>
    <w:uiPriority w:val="39"/>
    <w:unhideWhenUsed/>
    <w:pPr>
      <w:ind w:left="283" w:right="0" w:firstLine="0"/>
      <w:spacing w:after="57"/>
    </w:pPr>
  </w:style>
  <w:style w:type="paragraph" w:styleId="876">
    <w:name w:val="toc 3"/>
    <w:basedOn w:val="885"/>
    <w:next w:val="885"/>
    <w:uiPriority w:val="39"/>
    <w:unhideWhenUsed/>
    <w:pPr>
      <w:ind w:left="567" w:right="0" w:firstLine="0"/>
      <w:spacing w:after="57"/>
    </w:pPr>
  </w:style>
  <w:style w:type="paragraph" w:styleId="877">
    <w:name w:val="toc 4"/>
    <w:basedOn w:val="885"/>
    <w:next w:val="885"/>
    <w:uiPriority w:val="39"/>
    <w:unhideWhenUsed/>
    <w:pPr>
      <w:ind w:left="850" w:right="0" w:firstLine="0"/>
      <w:spacing w:after="57"/>
    </w:pPr>
  </w:style>
  <w:style w:type="paragraph" w:styleId="878">
    <w:name w:val="toc 5"/>
    <w:basedOn w:val="885"/>
    <w:next w:val="885"/>
    <w:uiPriority w:val="39"/>
    <w:unhideWhenUsed/>
    <w:pPr>
      <w:ind w:left="1134" w:right="0" w:firstLine="0"/>
      <w:spacing w:after="57"/>
    </w:pPr>
  </w:style>
  <w:style w:type="paragraph" w:styleId="879">
    <w:name w:val="toc 6"/>
    <w:basedOn w:val="885"/>
    <w:next w:val="885"/>
    <w:uiPriority w:val="39"/>
    <w:unhideWhenUsed/>
    <w:pPr>
      <w:ind w:left="1417" w:right="0" w:firstLine="0"/>
      <w:spacing w:after="57"/>
    </w:pPr>
  </w:style>
  <w:style w:type="paragraph" w:styleId="880">
    <w:name w:val="toc 7"/>
    <w:basedOn w:val="885"/>
    <w:next w:val="885"/>
    <w:uiPriority w:val="39"/>
    <w:unhideWhenUsed/>
    <w:pPr>
      <w:ind w:left="1701" w:right="0" w:firstLine="0"/>
      <w:spacing w:after="57"/>
    </w:pPr>
  </w:style>
  <w:style w:type="paragraph" w:styleId="881">
    <w:name w:val="toc 8"/>
    <w:basedOn w:val="885"/>
    <w:next w:val="885"/>
    <w:uiPriority w:val="39"/>
    <w:unhideWhenUsed/>
    <w:pPr>
      <w:ind w:left="1984" w:right="0" w:firstLine="0"/>
      <w:spacing w:after="57"/>
    </w:pPr>
  </w:style>
  <w:style w:type="paragraph" w:styleId="882">
    <w:name w:val="toc 9"/>
    <w:basedOn w:val="885"/>
    <w:next w:val="885"/>
    <w:uiPriority w:val="39"/>
    <w:unhideWhenUsed/>
    <w:pPr>
      <w:ind w:left="2268" w:right="0" w:firstLine="0"/>
      <w:spacing w:after="57"/>
    </w:pPr>
  </w:style>
  <w:style w:type="paragraph" w:styleId="883">
    <w:name w:val="TOC Heading"/>
    <w:uiPriority w:val="39"/>
    <w:unhideWhenUsed/>
  </w:style>
  <w:style w:type="paragraph" w:styleId="884">
    <w:name w:val="table of figures"/>
    <w:basedOn w:val="885"/>
    <w:next w:val="885"/>
    <w:uiPriority w:val="99"/>
    <w:unhideWhenUsed/>
    <w:pPr>
      <w:spacing w:after="0" w:afterAutospacing="0"/>
    </w:pPr>
  </w:style>
  <w:style w:type="paragraph" w:styleId="885" w:default="1">
    <w:name w:val="Normal"/>
    <w:next w:val="885"/>
    <w:link w:val="885"/>
    <w:qFormat/>
    <w:rPr>
      <w:sz w:val="24"/>
      <w:szCs w:val="24"/>
      <w:lang w:val="ru-RU" w:eastAsia="ru-RU" w:bidi="ar-SA"/>
    </w:rPr>
  </w:style>
  <w:style w:type="paragraph" w:styleId="886">
    <w:name w:val="Заголовок 1"/>
    <w:basedOn w:val="885"/>
    <w:next w:val="885"/>
    <w:link w:val="885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887">
    <w:name w:val="Заголовок 2"/>
    <w:basedOn w:val="885"/>
    <w:next w:val="885"/>
    <w:link w:val="916"/>
    <w:semiHidden/>
    <w:unhideWhenUsed/>
    <w:qFormat/>
    <w:pPr>
      <w:keepNext/>
      <w:spacing w:before="240" w:after="60"/>
      <w:outlineLvl w:val="1"/>
    </w:pPr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paragraph" w:styleId="888">
    <w:name w:val="Заголовок 6"/>
    <w:basedOn w:val="885"/>
    <w:next w:val="885"/>
    <w:link w:val="919"/>
    <w:unhideWhenUsed/>
    <w:qFormat/>
    <w:pPr>
      <w:keepLines/>
      <w:keepNext/>
      <w:spacing w:before="40"/>
      <w:outlineLvl w:val="5"/>
    </w:pPr>
    <w:rPr>
      <w:rFonts w:ascii="Cambria" w:hAnsi="Cambria" w:eastAsia="Times New Roman" w:cs="Times New Roman"/>
      <w:color w:val="243f60"/>
      <w:sz w:val="28"/>
      <w:szCs w:val="28"/>
    </w:rPr>
  </w:style>
  <w:style w:type="character" w:styleId="889">
    <w:name w:val="Основной шрифт абзаца"/>
    <w:next w:val="889"/>
    <w:link w:val="885"/>
    <w:uiPriority w:val="1"/>
    <w:unhideWhenUsed/>
  </w:style>
  <w:style w:type="table" w:styleId="890">
    <w:name w:val="Обычная таблица"/>
    <w:next w:val="890"/>
    <w:link w:val="885"/>
    <w:uiPriority w:val="99"/>
    <w:semiHidden/>
    <w:unhideWhenUsed/>
    <w:qFormat/>
    <w:tblPr/>
  </w:style>
  <w:style w:type="numbering" w:styleId="891">
    <w:name w:val="Нет списка"/>
    <w:next w:val="891"/>
    <w:link w:val="885"/>
    <w:uiPriority w:val="99"/>
    <w:semiHidden/>
    <w:unhideWhenUsed/>
  </w:style>
  <w:style w:type="paragraph" w:styleId="892">
    <w:name w:val="Обычный1"/>
    <w:next w:val="892"/>
    <w:link w:val="885"/>
    <w:rPr>
      <w:lang w:val="ru-RU" w:eastAsia="ru-RU" w:bidi="ar-SA"/>
    </w:rPr>
  </w:style>
  <w:style w:type="paragraph" w:styleId="893">
    <w:name w:val="ConsPlusTitle"/>
    <w:next w:val="893"/>
    <w:link w:val="885"/>
    <w:uiPriority w:val="99"/>
    <w:pPr>
      <w:widowControl w:val="off"/>
    </w:pPr>
    <w:rPr>
      <w:rFonts w:ascii="Arial" w:hAnsi="Arial" w:cs="Arial"/>
      <w:b/>
      <w:bCs/>
      <w:lang w:val="ru-RU" w:eastAsia="ru-RU" w:bidi="ar-SA"/>
    </w:rPr>
  </w:style>
  <w:style w:type="paragraph" w:styleId="894">
    <w:name w:val="ConsPlusNormal"/>
    <w:next w:val="894"/>
    <w:link w:val="885"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895">
    <w:name w:val="Основной текст"/>
    <w:basedOn w:val="885"/>
    <w:next w:val="895"/>
    <w:link w:val="906"/>
    <w:pPr>
      <w:jc w:val="both"/>
    </w:pPr>
    <w:rPr>
      <w:szCs w:val="28"/>
    </w:rPr>
  </w:style>
  <w:style w:type="table" w:styleId="896">
    <w:name w:val="Сетка таблицы"/>
    <w:basedOn w:val="890"/>
    <w:next w:val="896"/>
    <w:link w:val="885"/>
    <w:uiPriority w:val="59"/>
    <w:tblPr/>
  </w:style>
  <w:style w:type="paragraph" w:styleId="897">
    <w:name w:val="Char Char Знак Знак Знак"/>
    <w:basedOn w:val="885"/>
    <w:next w:val="897"/>
    <w:link w:val="885"/>
    <w:pPr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898">
    <w:name w:val="Текст выноски"/>
    <w:basedOn w:val="885"/>
    <w:next w:val="898"/>
    <w:link w:val="899"/>
    <w:rPr>
      <w:rFonts w:ascii="Tahoma" w:hAnsi="Tahoma" w:cs="Tahoma"/>
      <w:sz w:val="16"/>
      <w:szCs w:val="16"/>
    </w:rPr>
  </w:style>
  <w:style w:type="character" w:styleId="899">
    <w:name w:val="Текст выноски Знак"/>
    <w:next w:val="899"/>
    <w:link w:val="898"/>
    <w:rPr>
      <w:rFonts w:ascii="Tahoma" w:hAnsi="Tahoma" w:cs="Tahoma"/>
      <w:sz w:val="16"/>
      <w:szCs w:val="16"/>
    </w:rPr>
  </w:style>
  <w:style w:type="character" w:styleId="900">
    <w:name w:val="Цветовое выделение"/>
    <w:next w:val="900"/>
    <w:link w:val="885"/>
    <w:uiPriority w:val="99"/>
    <w:rPr>
      <w:b/>
      <w:color w:val="000080"/>
    </w:rPr>
  </w:style>
  <w:style w:type="character" w:styleId="901">
    <w:name w:val="Не вступил в силу"/>
    <w:next w:val="901"/>
    <w:link w:val="885"/>
    <w:uiPriority w:val="99"/>
    <w:rPr>
      <w:rFonts w:cs="Times New Roman"/>
      <w:b/>
      <w:color w:val="ff0000"/>
    </w:rPr>
  </w:style>
  <w:style w:type="character" w:styleId="902">
    <w:name w:val="Гипертекстовая ссылка"/>
    <w:next w:val="902"/>
    <w:link w:val="885"/>
    <w:rPr>
      <w:rFonts w:cs="Times New Roman"/>
      <w:b/>
      <w:color w:val="008000"/>
    </w:rPr>
  </w:style>
  <w:style w:type="paragraph" w:styleId="903">
    <w:name w:val="ConsNormal"/>
    <w:next w:val="903"/>
    <w:link w:val="885"/>
    <w:pPr>
      <w:ind w:right="19772" w:firstLine="720"/>
      <w:widowControl w:val="off"/>
    </w:pPr>
    <w:rPr>
      <w:rFonts w:ascii="Arial" w:hAnsi="Arial" w:cs="Arial"/>
      <w:lang w:val="ru-RU" w:eastAsia="ru-RU" w:bidi="ar-SA"/>
    </w:rPr>
  </w:style>
  <w:style w:type="paragraph" w:styleId="904">
    <w:name w:val="ConsNonformat"/>
    <w:next w:val="904"/>
    <w:link w:val="885"/>
    <w:pPr>
      <w:ind w:right="19772"/>
      <w:widowControl w:val="off"/>
    </w:pPr>
    <w:rPr>
      <w:rFonts w:ascii="Courier New" w:hAnsi="Courier New" w:cs="Courier New"/>
      <w:lang w:val="ru-RU" w:eastAsia="ru-RU" w:bidi="ar-SA"/>
    </w:rPr>
  </w:style>
  <w:style w:type="paragraph" w:styleId="905">
    <w:name w:val="Прижатый влево"/>
    <w:basedOn w:val="885"/>
    <w:next w:val="885"/>
    <w:link w:val="885"/>
    <w:uiPriority w:val="99"/>
    <w:rPr>
      <w:rFonts w:ascii="Arial" w:hAnsi="Arial" w:cs="Arial"/>
    </w:rPr>
  </w:style>
  <w:style w:type="character" w:styleId="906">
    <w:name w:val="Основной текст Знак"/>
    <w:next w:val="906"/>
    <w:link w:val="895"/>
    <w:rPr>
      <w:sz w:val="24"/>
      <w:szCs w:val="28"/>
    </w:rPr>
  </w:style>
  <w:style w:type="paragraph" w:styleId="907">
    <w:name w:val="Normal1"/>
    <w:next w:val="907"/>
    <w:link w:val="885"/>
    <w:rPr>
      <w:lang w:val="ru-RU" w:eastAsia="ru-RU" w:bidi="ar-SA"/>
    </w:rPr>
  </w:style>
  <w:style w:type="character" w:styleId="908">
    <w:name w:val="Гиперссылка"/>
    <w:next w:val="908"/>
    <w:link w:val="885"/>
    <w:rPr>
      <w:color w:val="0000ff"/>
      <w:u w:val="single"/>
    </w:rPr>
  </w:style>
  <w:style w:type="paragraph" w:styleId="909">
    <w:name w:val="Верхний колонтитул"/>
    <w:basedOn w:val="885"/>
    <w:next w:val="909"/>
    <w:link w:val="910"/>
    <w:uiPriority w:val="99"/>
    <w:pPr>
      <w:tabs>
        <w:tab w:val="center" w:pos="4677" w:leader="none"/>
        <w:tab w:val="right" w:pos="9355" w:leader="none"/>
      </w:tabs>
    </w:pPr>
    <w:rPr>
      <w:sz w:val="20"/>
      <w:szCs w:val="20"/>
    </w:rPr>
  </w:style>
  <w:style w:type="character" w:styleId="910">
    <w:name w:val="Верхний колонтитул Знак"/>
    <w:basedOn w:val="889"/>
    <w:next w:val="910"/>
    <w:link w:val="909"/>
    <w:uiPriority w:val="99"/>
  </w:style>
  <w:style w:type="paragraph" w:styleId="911">
    <w:name w:val="Основной текст с отступом 2"/>
    <w:basedOn w:val="885"/>
    <w:next w:val="911"/>
    <w:link w:val="912"/>
    <w:uiPriority w:val="99"/>
    <w:unhideWhenUsed/>
    <w:pPr>
      <w:ind w:left="283"/>
      <w:spacing w:after="120" w:line="480" w:lineRule="auto"/>
    </w:pPr>
  </w:style>
  <w:style w:type="character" w:styleId="912">
    <w:name w:val="Основной текст с отступом 2 Знак"/>
    <w:next w:val="912"/>
    <w:link w:val="911"/>
    <w:uiPriority w:val="99"/>
    <w:rPr>
      <w:sz w:val="24"/>
      <w:szCs w:val="24"/>
    </w:rPr>
  </w:style>
  <w:style w:type="paragraph" w:styleId="913">
    <w:name w:val="Текст сноски"/>
    <w:basedOn w:val="885"/>
    <w:next w:val="913"/>
    <w:link w:val="914"/>
    <w:rPr>
      <w:sz w:val="20"/>
      <w:szCs w:val="20"/>
    </w:rPr>
  </w:style>
  <w:style w:type="character" w:styleId="914">
    <w:name w:val="Текст сноски Знак"/>
    <w:basedOn w:val="889"/>
    <w:next w:val="914"/>
    <w:link w:val="913"/>
  </w:style>
  <w:style w:type="character" w:styleId="915">
    <w:name w:val="Знак сноски"/>
    <w:next w:val="915"/>
    <w:link w:val="885"/>
    <w:rPr>
      <w:vertAlign w:val="superscript"/>
    </w:rPr>
  </w:style>
  <w:style w:type="character" w:styleId="916">
    <w:name w:val="Заголовок 2 Знак"/>
    <w:next w:val="916"/>
    <w:link w:val="887"/>
    <w:semiHidden/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paragraph" w:styleId="917">
    <w:name w:val="Нижний колонтитул"/>
    <w:basedOn w:val="885"/>
    <w:next w:val="917"/>
    <w:link w:val="918"/>
    <w:pPr>
      <w:tabs>
        <w:tab w:val="center" w:pos="4677" w:leader="none"/>
        <w:tab w:val="right" w:pos="9355" w:leader="none"/>
      </w:tabs>
    </w:pPr>
  </w:style>
  <w:style w:type="character" w:styleId="918">
    <w:name w:val="Нижний колонтитул Знак"/>
    <w:next w:val="918"/>
    <w:link w:val="917"/>
    <w:rPr>
      <w:sz w:val="24"/>
      <w:szCs w:val="24"/>
    </w:rPr>
  </w:style>
  <w:style w:type="character" w:styleId="919">
    <w:name w:val="Заголовок 6 Знак"/>
    <w:next w:val="919"/>
    <w:link w:val="888"/>
    <w:rPr>
      <w:rFonts w:ascii="Cambria" w:hAnsi="Cambria"/>
      <w:color w:val="243f60"/>
      <w:sz w:val="28"/>
      <w:szCs w:val="28"/>
    </w:rPr>
  </w:style>
  <w:style w:type="character" w:styleId="920">
    <w:name w:val="Просмотренная гиперссылка"/>
    <w:next w:val="920"/>
    <w:link w:val="885"/>
    <w:rPr>
      <w:color w:val="954f72"/>
      <w:u w:val="single"/>
    </w:rPr>
  </w:style>
  <w:style w:type="character" w:styleId="921" w:default="1">
    <w:name w:val="Default Paragraph Font"/>
    <w:uiPriority w:val="1"/>
    <w:semiHidden/>
    <w:unhideWhenUsed/>
  </w:style>
  <w:style w:type="numbering" w:styleId="922" w:default="1">
    <w:name w:val="No List"/>
    <w:uiPriority w:val="99"/>
    <w:semiHidden/>
    <w:unhideWhenUsed/>
  </w:style>
  <w:style w:type="table" w:styleId="92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Liberation Sans"/>
        <a:ea typeface="Liberation Sans"/>
        <a:cs typeface="Liberation Sans"/>
      </a:majorFont>
      <a:minorFont>
        <a:latin typeface="Liberation Sans"/>
        <a:ea typeface="Liberation Sans"/>
        <a:cs typeface="Liberation Sans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KSP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dc:title>
  <dc:creator>Аббасова Наталья Павловна</dc:creator>
  <cp:lastModifiedBy>VGanina</cp:lastModifiedBy>
  <cp:revision>56</cp:revision>
  <dcterms:created xsi:type="dcterms:W3CDTF">2024-12-11T04:18:00Z</dcterms:created>
  <dcterms:modified xsi:type="dcterms:W3CDTF">2026-04-07T04:44:29Z</dcterms:modified>
  <cp:version>1048576</cp:version>
</cp:coreProperties>
</file>