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-6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022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68"/>
              <w:jc w:val="center"/>
            </w:pPr>
            <w:r w:rsidR="002022fd" w:rsidRPr="009a264f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970499999999987pt;height:81.529499999999999pt;" id="{4F465551-29DA-476B-A32D-ED0B12E6C2F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022fd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022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68"/>
              <w:jc w:val="center"/>
            </w:pPr>
            <w:r w:rsidR="002022fd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022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68"/>
              <w:jc w:val="center"/>
            </w:pPr>
            <w:r w:rsidR="002022fd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022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68"/>
              <w:jc w:val="center"/>
            </w:pPr>
            <w:r w:rsidR="002022fd" w:rsidRPr="005a24b6">
              <w:pict>
                <v:line id="_x0000_s1029" type="#_x0000_t20" style="position:absolute;mso-position-vertical-relative:page;" from="-5.7999999999999998pt,7.9500000000000002pt" to="478.89999999999998pt,7.9500000000000002pt" strokeweight="5.000000pt">
                  <v:stroke linestyle="thickThin"/>
                </v:line>
              </w:pict>
            </w:r>
            <w:r w:rsidR="002022fd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834fd9">
      <w:pPr>
        <w:pStyle w:val="Normal"/>
        <w:rPr>
          <w:b/>
          <w:sz w:val="24"/>
          <w:szCs w:val="24"/>
        </w:rPr>
        <w:jc w:val="center"/>
      </w:pPr>
      <w:r w:rsidR="00834fd9" w:rsidRPr="00834fd9">
        <w:rPr>
          <w:b/>
          <w:sz w:val="24"/>
          <w:szCs w:val="24"/>
        </w:rPr>
      </w:r>
    </w:p>
    <w:p w:rsidP="00834fd9">
      <w:pPr>
        <w:pStyle w:val="Normal"/>
        <w:rPr>
          <w:b/>
          <w:sz w:val="36"/>
          <w:szCs w:val="36"/>
        </w:rPr>
        <w:jc w:val="center"/>
      </w:pPr>
      <w:r w:rsidR="00863d46" w:rsidRPr="005a123d">
        <w:rPr>
          <w:b/>
          <w:sz w:val="36"/>
          <w:szCs w:val="36"/>
        </w:rPr>
        <w:t xml:space="preserve">РЕШЕНИЕ</w:t>
      </w:r>
    </w:p>
    <w:p w:rsidP="00863d46">
      <w:pPr>
        <w:pStyle w:val="Normal"/>
        <w:rPr>
          <w:b/>
          <w:sz w:val="32"/>
          <w:szCs w:val="32"/>
        </w:rPr>
        <w:jc w:val="center"/>
      </w:pPr>
      <w:r w:rsidR="00863d46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863d46">
            <w:pPr>
              <w:pStyle w:val="BodyText"/>
              <w:rPr>
                <w:szCs w:val="24"/>
              </w:rPr>
              <w:jc w:val="center"/>
            </w:pPr>
            <w:r w:rsidR="002022fd">
              <w:rPr>
                <w:szCs w:val="24"/>
              </w:rPr>
              <w:t xml:space="preserve">от 20.06.2012 № 1470</w:t>
            </w:r>
            <w:r w:rsidR="00863d46">
              <w:rPr>
                <w:szCs w:val="24"/>
              </w:rPr>
              <w:t xml:space="preserve">-р</w:t>
            </w:r>
            <w:r w:rsidR="00863d46" w:rsidRPr="00e86436">
              <w:rPr>
                <w:szCs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863d46">
            <w:pPr>
              <w:pStyle w:val="BodyText"/>
              <w:rPr>
                <w:szCs w:val="24"/>
              </w:rPr>
              <w:jc w:val="center"/>
            </w:pPr>
            <w:r w:rsidR="009801e0">
              <w:rPr>
                <w:szCs w:val="24"/>
              </w:rPr>
              <w:t xml:space="preserve">47</w:t>
            </w:r>
            <w:r w:rsidR="00863d46" w:rsidRPr="00e86436">
              <w:rPr>
                <w:szCs w:val="24"/>
              </w:rPr>
              <w:t xml:space="preserve">-</w:t>
            </w:r>
            <w:r w:rsidR="00863d46">
              <w:rPr>
                <w:szCs w:val="24"/>
              </w:rPr>
              <w:t xml:space="preserve">я </w:t>
            </w:r>
            <w:r w:rsidR="00863d46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117ddc">
            <w:pPr>
              <w:pStyle w:val="BodyText"/>
              <w:rPr>
                <w:sz w:val="22"/>
                <w:szCs w:val="22"/>
              </w:rPr>
              <w:jc w:val="center"/>
            </w:pPr>
            <w:r w:rsidR="00863d46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63d46">
      <w:pPr>
        <w:pStyle w:val="Normal"/>
        <w:rPr>
          <w:sz w:val="24"/>
          <w:szCs w:val="24"/>
        </w:rPr>
      </w:pPr>
      <w:r w:rsidR="00863d46" w:rsidRPr="00834fd9">
        <w:rPr>
          <w:sz w:val="24"/>
          <w:szCs w:val="24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219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2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3d46">
            <w:pPr>
              <w:pStyle w:val="Normal"/>
              <w:rPr>
                <w:sz w:val="28"/>
                <w:szCs w:val="28"/>
              </w:rPr>
              <w:jc w:val="both"/>
            </w:pPr>
            <w:r w:rsidR="00863d46" w:rsidRPr="00f8308d">
              <w:rPr>
                <w:sz w:val="28"/>
                <w:szCs w:val="28"/>
              </w:rPr>
              <w:t xml:space="preserve">О </w:t>
            </w:r>
            <w:r w:rsidR="00863d46" w:rsidRPr="00cb1944">
              <w:rPr>
                <w:sz w:val="28"/>
                <w:szCs w:val="28"/>
              </w:rPr>
              <w:t xml:space="preserve">принятии решения о </w:t>
            </w:r>
            <w:r w:rsidR="00863d46">
              <w:rPr>
                <w:sz w:val="28"/>
                <w:szCs w:val="28"/>
              </w:rPr>
              <w:t xml:space="preserve">порядке материально-технического и организационного обеспечения деятельности органов местного самоуправления</w:t>
            </w:r>
            <w:r w:rsidR="00863d46" w:rsidRPr="007a385b"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  <w:r w:rsidR="00863d46" w:rsidRPr="00f8308d">
              <w:rPr>
                <w:sz w:val="28"/>
                <w:szCs w:val="28"/>
              </w:rPr>
            </w:r>
          </w:p>
        </w:tc>
      </w:tr>
    </w:tbl>
    <w:p w:rsidP="00863d46">
      <w:pPr>
        <w:pStyle w:val="Normal"/>
        <w:rPr>
          <w:sz w:val="24"/>
          <w:szCs w:val="24"/>
        </w:rPr>
        <w:autoSpaceDE w:val="off"/>
        <w:autoSpaceDN w:val="off"/>
        <w:ind w:firstLine="708"/>
        <w:jc w:val="both"/>
      </w:pPr>
      <w:r w:rsidR="00863d46" w:rsidRPr="00834fd9">
        <w:rPr>
          <w:sz w:val="24"/>
          <w:szCs w:val="24"/>
        </w:rPr>
      </w:r>
    </w:p>
    <w:p w:rsidP="00863d46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863d46" w:rsidRPr="00863d46">
        <w:rPr>
          <w:sz w:val="28"/>
          <w:szCs w:val="28"/>
        </w:rPr>
        <w:t xml:space="preserve">Рассмотрев проект решения 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округа, доработанный рабочей группой, созданной решением Городской Думы Петропавловск-Камчатского городского округа от 18.04.2012 № 1449-р</w:t>
      </w:r>
      <w:r w:rsidR="002022fd">
        <w:rPr>
          <w:sz w:val="28"/>
          <w:szCs w:val="28"/>
        </w:rPr>
        <w:t xml:space="preserve"> «</w:t>
      </w:r>
      <w:r w:rsidR="002022fd" w:rsidRPr="00f8308d">
        <w:rPr>
          <w:sz w:val="28"/>
          <w:szCs w:val="28"/>
        </w:rPr>
        <w:t xml:space="preserve">О </w:t>
      </w:r>
      <w:r w:rsidR="002022fd" w:rsidRPr="00cb1944">
        <w:rPr>
          <w:sz w:val="28"/>
          <w:szCs w:val="28"/>
        </w:rPr>
        <w:t xml:space="preserve">принятии </w:t>
      </w:r>
      <w:r w:rsidR="002022fd">
        <w:rPr>
          <w:sz w:val="28"/>
          <w:szCs w:val="28"/>
        </w:rPr>
        <w:t xml:space="preserve">в первом чтении проекта </w:t>
      </w:r>
      <w:r w:rsidR="002022fd" w:rsidRPr="00cb1944">
        <w:rPr>
          <w:sz w:val="28"/>
          <w:szCs w:val="28"/>
        </w:rPr>
        <w:t xml:space="preserve">решения о </w:t>
      </w:r>
      <w:r w:rsidR="002022fd">
        <w:rPr>
          <w:sz w:val="28"/>
          <w:szCs w:val="28"/>
        </w:rPr>
        <w:t xml:space="preserve">порядке материально-технического и организационного обеспечения деятельности органов местного самоуправления</w:t>
      </w:r>
      <w:r w:rsidR="002022fd" w:rsidRPr="007a385b">
        <w:rPr>
          <w:sz w:val="28"/>
          <w:szCs w:val="28"/>
        </w:rPr>
        <w:t xml:space="preserve"> Петропавловск-Камчатского городского округа</w:t>
      </w:r>
      <w:r w:rsidR="002022fd">
        <w:rPr>
          <w:sz w:val="28"/>
          <w:szCs w:val="28"/>
        </w:rPr>
        <w:t xml:space="preserve">»</w:t>
      </w:r>
      <w:r w:rsidR="00ec3301">
        <w:rPr>
          <w:sz w:val="28"/>
          <w:szCs w:val="28"/>
        </w:rPr>
        <w:t xml:space="preserve">,</w:t>
      </w:r>
      <w:r w:rsidR="00863d46" w:rsidRPr="00863d46">
        <w:rPr>
          <w:sz w:val="28"/>
          <w:szCs w:val="28"/>
        </w:rPr>
        <w:t xml:space="preserve"> и внесенный Главой Петропавловск-Камчатского городского округа </w:t>
      </w:r>
      <w:r w:rsidR="00863d46">
        <w:rPr>
          <w:sz w:val="28"/>
          <w:szCs w:val="28"/>
        </w:rPr>
        <w:t xml:space="preserve">  </w:t>
      </w:r>
      <w:r w:rsidR="00863d46" w:rsidRPr="00863d46">
        <w:rPr>
          <w:sz w:val="28"/>
          <w:szCs w:val="28"/>
        </w:rPr>
        <w:t xml:space="preserve">Семчевым В.А., руководствуясь статьей 28 Устава Петропавловск-Камчатского городского, Городская Дума</w:t>
      </w:r>
      <w:r w:rsidR="00834fd9">
        <w:rPr>
          <w:sz w:val="28"/>
          <w:szCs w:val="28"/>
        </w:rPr>
        <w:t xml:space="preserve"> </w:t>
      </w:r>
      <w:r w:rsidR="00863d46" w:rsidRPr="00863d46">
        <w:rPr>
          <w:sz w:val="28"/>
          <w:szCs w:val="28"/>
        </w:rPr>
        <w:t xml:space="preserve">Петропавловск-Камчатского городского округа</w:t>
      </w:r>
    </w:p>
    <w:p w:rsidP="00863d46">
      <w:pPr>
        <w:pStyle w:val="Normal"/>
        <w:rPr>
          <w:sz w:val="28"/>
          <w:szCs w:val="28"/>
        </w:rPr>
      </w:pPr>
      <w:r w:rsidR="00863d46">
        <w:rPr>
          <w:sz w:val="28"/>
          <w:szCs w:val="28"/>
        </w:rPr>
      </w:r>
    </w:p>
    <w:p w:rsidP="00863d46">
      <w:pPr>
        <w:pStyle w:val="Normal"/>
        <w:rPr>
          <w:b/>
          <w:sz w:val="28"/>
          <w:szCs w:val="28"/>
        </w:rPr>
      </w:pPr>
      <w:r w:rsidR="00863d46" w:rsidRPr="009a264f">
        <w:rPr>
          <w:b/>
          <w:sz w:val="28"/>
          <w:szCs w:val="28"/>
        </w:rPr>
        <w:t xml:space="preserve">РЕШИЛА:</w:t>
      </w:r>
      <w:r w:rsidR="004b0699">
        <w:rPr>
          <w:b/>
          <w:sz w:val="28"/>
          <w:szCs w:val="28"/>
        </w:rPr>
        <w:t xml:space="preserve"> </w:t>
      </w:r>
      <w:r w:rsidR="00863d46" w:rsidRPr="009a264f">
        <w:rPr>
          <w:b/>
          <w:sz w:val="28"/>
          <w:szCs w:val="28"/>
        </w:rPr>
      </w:r>
    </w:p>
    <w:p w:rsidP="00863d46">
      <w:pPr>
        <w:pStyle w:val="Normal"/>
        <w:rPr>
          <w:sz w:val="28"/>
          <w:szCs w:val="28"/>
        </w:rPr>
      </w:pPr>
      <w:r w:rsidR="00863d46" w:rsidRPr="00863d46">
        <w:rPr>
          <w:sz w:val="28"/>
          <w:szCs w:val="28"/>
        </w:rPr>
      </w:r>
    </w:p>
    <w:p w:rsidP="00863d46">
      <w:pPr>
        <w:pStyle w:val="Normal"/>
        <w:rPr>
          <w:sz w:val="28"/>
          <w:szCs w:val="28"/>
        </w:rPr>
        <w:ind w:firstLine="709"/>
        <w:jc w:val="both"/>
      </w:pPr>
      <w:r w:rsidR="00863d46" w:rsidRPr="00863d46">
        <w:rPr>
          <w:sz w:val="28"/>
          <w:szCs w:val="28"/>
        </w:rPr>
        <w:t xml:space="preserve">1. Принять Решение 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округа.</w:t>
      </w:r>
    </w:p>
    <w:p w:rsidP="00863d46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863d46" w:rsidRPr="00863d46">
        <w:rPr>
          <w:sz w:val="28"/>
          <w:szCs w:val="28"/>
        </w:rPr>
        <w:t xml:space="preserve">2. Направить принятое Решение Главе Петропавловск-Камчатского городского округа Семчеву В.А. для подписания и обнародования.</w:t>
      </w:r>
    </w:p>
    <w:p w:rsidP="00863d46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863d46">
        <w:rPr>
          <w:sz w:val="28"/>
          <w:szCs w:val="28"/>
        </w:rPr>
      </w:r>
    </w:p>
    <w:p w:rsidP="00863d46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863d46" w:rsidRPr="00863d46">
        <w:rPr>
          <w:sz w:val="28"/>
          <w:szCs w:val="28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69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17ddc">
            <w:pPr>
              <w:pStyle w:val="Normal"/>
              <w:rPr>
                <w:sz w:val="28"/>
                <w:szCs w:val="28"/>
              </w:rPr>
              <w:jc w:val="both"/>
            </w:pPr>
            <w:r w:rsidR="00863d46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17ddc">
            <w:pPr>
              <w:pStyle w:val="Normal"/>
              <w:rPr>
                <w:sz w:val="28"/>
                <w:szCs w:val="28"/>
              </w:rPr>
              <w:jc w:val="center"/>
            </w:pPr>
            <w:r w:rsidR="00863d46" w:rsidRPr="00fa1b15">
              <w:rPr>
                <w:sz w:val="28"/>
                <w:szCs w:val="28"/>
              </w:rPr>
            </w:r>
          </w:p>
          <w:p w:rsidP="00117ddc">
            <w:pPr>
              <w:pStyle w:val="Normal"/>
              <w:rPr>
                <w:sz w:val="28"/>
                <w:szCs w:val="28"/>
              </w:rPr>
              <w:jc w:val="center"/>
            </w:pPr>
            <w:r w:rsidR="00863d46" w:rsidRPr="00fa1b15">
              <w:rPr>
                <w:sz w:val="28"/>
                <w:szCs w:val="28"/>
              </w:rPr>
            </w:r>
          </w:p>
          <w:p w:rsidP="00117ddc">
            <w:pPr>
              <w:pStyle w:val="Normal"/>
              <w:rPr>
                <w:sz w:val="28"/>
                <w:szCs w:val="28"/>
              </w:rPr>
              <w:jc w:val="center"/>
            </w:pPr>
            <w:r w:rsidR="00863d46" w:rsidRPr="00fa1b15">
              <w:rPr>
                <w:sz w:val="28"/>
                <w:szCs w:val="28"/>
              </w:rPr>
            </w:r>
          </w:p>
          <w:p w:rsidP="00117ddc">
            <w:pPr>
              <w:pStyle w:val="Normal"/>
              <w:rPr>
                <w:sz w:val="28"/>
                <w:szCs w:val="28"/>
              </w:rPr>
              <w:jc w:val="center"/>
            </w:pPr>
            <w:r w:rsidR="00863d46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17ddc">
            <w:pPr>
              <w:pStyle w:val="Normal"/>
              <w:rPr>
                <w:sz w:val="28"/>
                <w:szCs w:val="28"/>
              </w:rPr>
              <w:jc w:val="right"/>
            </w:pPr>
            <w:r w:rsidR="00863d46" w:rsidRPr="00fa1b15">
              <w:rPr>
                <w:sz w:val="28"/>
                <w:szCs w:val="28"/>
              </w:rPr>
            </w:r>
          </w:p>
          <w:p w:rsidP="00117ddc">
            <w:pPr>
              <w:pStyle w:val="Normal"/>
              <w:rPr>
                <w:sz w:val="28"/>
                <w:szCs w:val="28"/>
              </w:rPr>
              <w:jc w:val="right"/>
            </w:pPr>
            <w:r w:rsidR="00863d46" w:rsidRPr="00fa1b15">
              <w:rPr>
                <w:sz w:val="28"/>
                <w:szCs w:val="28"/>
              </w:rPr>
            </w:r>
          </w:p>
          <w:p w:rsidP="00117ddc">
            <w:pPr>
              <w:pStyle w:val="Normal"/>
              <w:rPr>
                <w:sz w:val="28"/>
                <w:szCs w:val="28"/>
              </w:rPr>
              <w:jc w:val="right"/>
            </w:pPr>
            <w:r w:rsidR="00863d46" w:rsidRPr="00fa1b15">
              <w:rPr>
                <w:sz w:val="28"/>
                <w:szCs w:val="28"/>
              </w:rPr>
            </w:r>
          </w:p>
          <w:p w:rsidP="00117ddc">
            <w:pPr>
              <w:pStyle w:val="Normal"/>
              <w:rPr>
                <w:sz w:val="28"/>
                <w:szCs w:val="28"/>
              </w:rPr>
              <w:jc w:val="right"/>
            </w:pPr>
            <w:r w:rsidR="00863d46" w:rsidRPr="00fa1b15">
              <w:rPr>
                <w:sz w:val="28"/>
                <w:szCs w:val="28"/>
              </w:rPr>
              <w:t xml:space="preserve">В.А. Семчев</w:t>
            </w:r>
          </w:p>
        </w:tc>
      </w:tr>
    </w:tbl>
    <w:p w:rsidP="007e6fcb">
      <w:pPr>
        <w:pStyle w:val="Normal"/>
        <w:rPr>
          <w:szCs w:val="28"/>
        </w:rPr>
      </w:pPr>
      <w:r w:rsidR="00863d46">
        <w:rPr>
          <w:szCs w:val="28"/>
        </w:rPr>
        <w:br w:type="page"/>
      </w:r>
      <w:r w:rsidR="00863d46" w:rsidRPr="00c80bac">
        <w:rPr>
          <w:szCs w:val="28"/>
        </w:rPr>
      </w:r>
    </w:p>
    <w:tbl>
      <w:tblPr>
        <w:tblW w:type="dxa" w:w="9816"/>
        <w:tblLook w:val="01e0"/>
        <w:tblW w:type="dxa" w:w="9816"/>
        <w:tblpPr w:horzAnchor="margin" w:leftFromText="181" w:rightFromText="181" w:tblpX="-24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1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b42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244" w:y="1"/>
              <w:jc w:val="center"/>
            </w:pPr>
            <w:r w:rsidR="009a264f" w:rsidRPr="009a264f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970499999999987pt;height:81.529499999999999pt;" id="{43C763E0-602D-4FD6-8C17-6CD069FFB3CA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b42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244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b42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244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b42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244" w:y="1"/>
              <w:jc w:val="center"/>
            </w:pPr>
            <w:r w:rsidR="005a24b6" w:rsidRPr="005a24b6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4"/>
          <w:szCs w:val="24"/>
        </w:rPr>
        <w:jc w:val="center"/>
      </w:pPr>
      <w:r w:rsidR="007e6fcb" w:rsidRPr="00834fd9">
        <w:rPr>
          <w:b/>
          <w:sz w:val="24"/>
          <w:szCs w:val="24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9a264f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Cs w:val="28"/>
        </w:rPr>
        <w:jc w:val="center"/>
      </w:pPr>
      <w:r w:rsidR="007e6fcb">
        <w:rPr>
          <w:b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834fd9">
        <w:rPr>
          <w:sz w:val="28"/>
          <w:szCs w:val="28"/>
        </w:rPr>
        <w:t xml:space="preserve">27.06.2012 </w:t>
      </w:r>
      <w:r w:rsidR="00621ecd">
        <w:rPr>
          <w:sz w:val="28"/>
          <w:szCs w:val="28"/>
        </w:rPr>
        <w:t xml:space="preserve">№</w:t>
      </w:r>
      <w:r w:rsidR="00834fd9">
        <w:rPr>
          <w:sz w:val="28"/>
          <w:szCs w:val="28"/>
        </w:rPr>
        <w:t xml:space="preserve"> 509</w:t>
      </w:r>
      <w:r w:rsidR="002e4969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7e6fcb" w:rsidRPr="00a053f4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be3fa8" w:rsidRPr="00be3fa8">
        <w:rPr>
          <w:b/>
          <w:sz w:val="28"/>
          <w:szCs w:val="28"/>
        </w:rPr>
        <w:t xml:space="preserve">О порядке материально</w:t>
      </w:r>
      <w:r w:rsidR="00834fd9">
        <w:rPr>
          <w:b/>
          <w:sz w:val="28"/>
          <w:szCs w:val="28"/>
        </w:rPr>
        <w:t xml:space="preserve">-</w:t>
      </w:r>
      <w:r w:rsidR="00be3fa8" w:rsidRPr="00be3fa8">
        <w:rPr>
          <w:b/>
          <w:sz w:val="28"/>
          <w:szCs w:val="28"/>
        </w:rPr>
        <w:t xml:space="preserve">технического и организационного обеспечения деятельности органов местного самоуправления Петропавловск-Камчатского городского округа</w:t>
      </w:r>
      <w:r w:rsidR="002c3370" w:rsidRPr="00be3fa8">
        <w:rPr>
          <w:b/>
          <w:sz w:val="28"/>
          <w:szCs w:val="28"/>
        </w:rPr>
      </w:r>
    </w:p>
    <w:p w:rsidP="007e6fcb">
      <w:pPr>
        <w:pStyle w:val="Normal"/>
        <w:rPr>
          <w:b/>
          <w:szCs w:val="28"/>
        </w:rPr>
        <w:jc w:val="center"/>
      </w:pPr>
      <w:r w:rsidR="004a1b84" w:rsidRPr="002c3370">
        <w:rPr>
          <w:b/>
          <w:szCs w:val="28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Принято Городской Думой</w:t>
      </w:r>
      <w:r w:rsidR="002e4042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9a264f">
      <w:pPr>
        <w:pStyle w:val="Normal"/>
        <w:rPr>
          <w:i/>
          <w:sz w:val="24"/>
          <w:szCs w:val="24"/>
        </w:rPr>
        <w:jc w:val="center"/>
      </w:pPr>
      <w:r w:rsidR="007e6fcb" w:rsidRPr="00073cfd">
        <w:rPr>
          <w:i/>
          <w:sz w:val="24"/>
          <w:szCs w:val="24"/>
        </w:rPr>
        <w:t xml:space="preserve">(решение от</w:t>
      </w:r>
      <w:r w:rsidR="00823ac3" w:rsidRPr="00073cfd">
        <w:rPr>
          <w:i/>
          <w:sz w:val="24"/>
          <w:szCs w:val="24"/>
        </w:rPr>
        <w:t xml:space="preserve"> </w:t>
      </w:r>
      <w:r w:rsidR="002022fd" w:rsidRPr="00073cfd">
        <w:rPr>
          <w:i/>
          <w:sz w:val="24"/>
          <w:szCs w:val="24"/>
        </w:rPr>
        <w:t xml:space="preserve">20.06.2012 </w:t>
      </w:r>
      <w:r w:rsidR="007e6fcb" w:rsidRPr="00073cfd">
        <w:rPr>
          <w:i/>
          <w:sz w:val="24"/>
          <w:szCs w:val="24"/>
        </w:rPr>
        <w:t xml:space="preserve">№</w:t>
      </w:r>
      <w:r w:rsidR="002022fd" w:rsidRPr="00073cfd">
        <w:rPr>
          <w:i/>
          <w:sz w:val="24"/>
          <w:szCs w:val="24"/>
        </w:rPr>
        <w:t xml:space="preserve"> 1470</w:t>
      </w:r>
      <w:r w:rsidR="005a123d" w:rsidRPr="00073cfd">
        <w:rPr>
          <w:i/>
          <w:sz w:val="24"/>
          <w:szCs w:val="24"/>
        </w:rPr>
        <w:t xml:space="preserve">-р</w:t>
      </w:r>
      <w:r w:rsidR="007e6fcb" w:rsidRPr="00073cfd">
        <w:rPr>
          <w:i/>
          <w:sz w:val="24"/>
          <w:szCs w:val="24"/>
        </w:rPr>
        <w:t xml:space="preserve">)</w:t>
      </w:r>
      <w:r w:rsidR="009a264f" w:rsidRPr="00073cfd">
        <w:rPr>
          <w:i/>
          <w:sz w:val="24"/>
          <w:szCs w:val="24"/>
        </w:rPr>
      </w:r>
    </w:p>
    <w:p w:rsidP="00c35532">
      <w:pPr>
        <w:pStyle w:val="Normal"/>
        <w:rPr>
          <w:i/>
        </w:rPr>
        <w:jc w:val="center"/>
      </w:pPr>
      <w:r w:rsidR="00c35532">
        <w:rPr>
          <w:i/>
        </w:rPr>
      </w:r>
    </w:p>
    <w:p w:rsidP="00c35532">
      <w:pPr>
        <w:pStyle w:val="Normal"/>
        <w:rPr>
          <w:i/>
        </w:rPr>
        <w:jc w:val="center"/>
      </w:pPr>
      <w:r w:rsidR="00c35532">
        <w:rPr>
          <w:i/>
        </w:rPr>
        <w:t xml:space="preserve">С</w:t>
      </w:r>
      <w:r w:rsidR="00c35532" w:rsidRPr="004a1b84">
        <w:rPr>
          <w:i/>
        </w:rPr>
        <w:t xml:space="preserve"> изменениями от:</w:t>
      </w:r>
    </w:p>
    <w:p w:rsidP="00c35532">
      <w:pPr>
        <w:pStyle w:val="Normal"/>
        <w:rPr>
          <w:i/>
        </w:rPr>
        <w:jc w:val="center"/>
      </w:pPr>
      <w:r w:rsidR="00c35532" w:rsidRPr="004a1b84">
        <w:rPr>
          <w:i/>
        </w:rPr>
        <w:t xml:space="preserve">26.06.2013 № 95-нд (19.06.2013 № 227-р)</w:t>
      </w:r>
    </w:p>
    <w:p w:rsidP="00c35532">
      <w:pPr>
        <w:pStyle w:val="Normal"/>
        <w:rPr>
          <w:i/>
        </w:rPr>
        <w:jc w:val="center"/>
      </w:pPr>
      <w:r w:rsidR="00c35532" w:rsidRPr="00c35532">
        <w:rPr>
          <w:i/>
        </w:rPr>
        <w:t xml:space="preserve">01.11.2016 № 497-нд (26.10.2016 № 1127-р)</w:t>
      </w:r>
      <w:r w:rsidR="00c35532" w:rsidRPr="004a1b84">
        <w:rPr>
          <w:i/>
        </w:rPr>
      </w:r>
    </w:p>
    <w:p w:rsidP="009a264f">
      <w:pPr>
        <w:pStyle w:val="Normal"/>
        <w:rPr>
          <w:i/>
          <w:sz w:val="24"/>
          <w:szCs w:val="24"/>
        </w:rPr>
        <w:jc w:val="center"/>
      </w:pPr>
      <w:r w:rsidR="006f18e7">
        <w:rPr>
          <w:i/>
          <w:sz w:val="24"/>
          <w:szCs w:val="24"/>
        </w:rPr>
      </w:r>
    </w:p>
    <w:p w:rsidP="00b84708">
      <w:pPr>
        <w:pStyle w:val="Normal"/>
        <w:rPr>
          <w:sz w:val="28"/>
          <w:szCs w:val="28"/>
        </w:rPr>
        <w:ind w:firstLine="709"/>
      </w:pPr>
      <w:r w:rsidR="006f18e7" w:rsidRPr="00af197c">
        <w:rPr>
          <w:b/>
          <w:sz w:val="28"/>
          <w:szCs w:val="28"/>
        </w:rPr>
        <w:t xml:space="preserve">Статья 1. Общие положения</w:t>
      </w:r>
      <w:r w:rsidR="00887cd8" w:rsidRPr="00887cd8">
        <w:rPr>
          <w:sz w:val="28"/>
          <w:szCs w:val="28"/>
        </w:rPr>
      </w:r>
    </w:p>
    <w:p w:rsidP="00b84708">
      <w:pPr>
        <w:pStyle w:val="Normal"/>
        <w:rPr>
          <w:sz w:val="28"/>
          <w:szCs w:val="28"/>
          <w:rFonts w:eastAsia="Calibri"/>
        </w:rPr>
        <w:ind w:firstLine="709"/>
        <w:jc w:val="both"/>
      </w:pPr>
      <w:r w:rsidR="009a264f" w:rsidRPr="00887cd8">
        <w:rPr>
          <w:sz w:val="28"/>
          <w:szCs w:val="28"/>
          <w:rFonts w:eastAsia="Calibri"/>
        </w:rPr>
        <w:t xml:space="preserve">1. Настоящее Решение 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 (далее</w:t>
      </w:r>
      <w:r w:rsidR="00863d46" w:rsidRPr="00887cd8">
        <w:rPr>
          <w:sz w:val="28"/>
          <w:szCs w:val="28"/>
        </w:rPr>
        <w:t xml:space="preserve"> – </w:t>
      </w:r>
      <w:r w:rsidR="009a264f" w:rsidRPr="00887cd8">
        <w:rPr>
          <w:sz w:val="28"/>
          <w:szCs w:val="28"/>
          <w:rFonts w:eastAsia="Calibri"/>
        </w:rPr>
        <w:t xml:space="preserve">Решение) разработано 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28 </w:t>
      </w:r>
      <w:r w:rsidR="009a264f" w:rsidRPr="00887cd8">
        <w:rPr>
          <w:sz w:val="28"/>
          <w:szCs w:val="28"/>
        </w:rPr>
        <w:fldChar w:fldCharType="begin"/>
      </w:r>
      <w:r w:rsidR="009a264f" w:rsidRPr="00887cd8">
        <w:rPr>
          <w:sz w:val="28"/>
          <w:szCs w:val="28"/>
        </w:rPr>
        <w:instrText xml:space="preserve">HYPERLINK "consultantplus://offline/ref=63A6B722B132DF0D64625A563DD0B1E2E80A395085233DDE3EE12E3FC2A88B13f1r9H"</w:instrText>
      </w:r>
      <w:r w:rsidR="009a264f" w:rsidRPr="00887cd8">
        <w:rPr>
          <w:sz w:val="28"/>
          <w:szCs w:val="28"/>
        </w:rPr>
        <w:fldChar w:fldCharType="separate"/>
      </w:r>
      <w:r w:rsidR="009a264f" w:rsidRPr="00887cd8">
        <w:rPr>
          <w:sz w:val="28"/>
          <w:szCs w:val="28"/>
          <w:rFonts w:eastAsia="Calibri"/>
        </w:rPr>
        <w:instrText xml:space="preserve">Устава</w:instrText>
      </w:r>
      <w:r w:rsidR="009a264f" w:rsidRPr="00887cd8">
        <w:rPr>
          <w:sz w:val="28"/>
          <w:szCs w:val="28"/>
        </w:rPr>
        <w:fldChar w:fldCharType="end"/>
      </w:r>
      <w:r w:rsidR="009a264f" w:rsidRPr="00887cd8">
        <w:rPr>
          <w:sz w:val="28"/>
          <w:szCs w:val="28"/>
          <w:rFonts w:eastAsia="Calibri"/>
        </w:rPr>
        <w:t xml:space="preserve"> Петропавловск-Камчатского городского.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9a264f" w:rsidRPr="00887cd8">
        <w:rPr>
          <w:sz w:val="28"/>
          <w:szCs w:val="28"/>
          <w:rFonts w:ascii="Times New Roman" w:eastAsia="Calibri" w:hAnsi="Times New Roman"/>
        </w:rPr>
        <w:t xml:space="preserve">2. </w:t>
      </w:r>
      <w:r w:rsidR="00887cd8" w:rsidRPr="00887cd8">
        <w:rPr>
          <w:sz w:val="28"/>
          <w:szCs w:val="28"/>
          <w:rFonts w:ascii="Times New Roman" w:hAnsi="Times New Roman"/>
        </w:rPr>
        <w:t xml:space="preserve">Решение регулирует отношения по осуществлению материально-технического и организационного обеспечения деятельности органов местного самоуправления </w:t>
      </w:r>
      <w:r w:rsidR="00887cd8" w:rsidRPr="00887cd8">
        <w:rPr>
          <w:sz w:val="28"/>
          <w:szCs w:val="28"/>
          <w:rFonts w:ascii="Times New Roman" w:eastAsia="Calibri" w:hAnsi="Times New Roman"/>
        </w:rPr>
        <w:t xml:space="preserve">Петропавловск-Камчатского городского округа</w:t>
      </w:r>
      <w:r w:rsidR="00a276c0">
        <w:rPr>
          <w:sz w:val="28"/>
          <w:szCs w:val="28"/>
          <w:rFonts w:ascii="Times New Roman" w:eastAsia="Calibri" w:hAnsi="Times New Roman"/>
        </w:rPr>
        <w:t xml:space="preserve"> (далее – </w:t>
      </w:r>
      <w:r w:rsidR="00715d98" w:rsidRPr="00887cd8">
        <w:rPr>
          <w:sz w:val="28"/>
          <w:szCs w:val="28"/>
          <w:rFonts w:ascii="Times New Roman" w:hAnsi="Times New Roman"/>
        </w:rPr>
        <w:t xml:space="preserve">орган</w:t>
      </w:r>
      <w:r w:rsidR="00715d98">
        <w:rPr>
          <w:sz w:val="28"/>
          <w:szCs w:val="28"/>
          <w:rFonts w:ascii="Times New Roman" w:hAnsi="Times New Roman"/>
        </w:rPr>
        <w:t xml:space="preserve">ы</w:t>
      </w:r>
      <w:r w:rsidR="00715d98" w:rsidRPr="00887cd8">
        <w:rPr>
          <w:sz w:val="28"/>
          <w:szCs w:val="28"/>
          <w:rFonts w:ascii="Times New Roman" w:hAnsi="Times New Roman"/>
        </w:rPr>
        <w:t xml:space="preserve"> местного самоуправления</w:t>
      </w:r>
      <w:r w:rsidR="00a276c0">
        <w:rPr>
          <w:sz w:val="28"/>
          <w:szCs w:val="28"/>
          <w:rFonts w:ascii="Times New Roman" w:eastAsia="Calibri" w:hAnsi="Times New Roman"/>
        </w:rPr>
        <w:t xml:space="preserve">)</w:t>
      </w:r>
      <w:r w:rsidR="00887cd8" w:rsidRPr="00887cd8">
        <w:rPr>
          <w:sz w:val="28"/>
          <w:szCs w:val="28"/>
          <w:rFonts w:ascii="Times New Roman" w:hAnsi="Times New Roman"/>
        </w:rPr>
        <w:t xml:space="preserve">, структуру которых составляют: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887cd8" w:rsidRPr="00887cd8">
        <w:rPr>
          <w:sz w:val="28"/>
          <w:szCs w:val="28"/>
          <w:rFonts w:ascii="Times New Roman" w:hAnsi="Times New Roman"/>
        </w:rPr>
        <w:t xml:space="preserve">1) представительный орган городского округа </w:t>
      </w:r>
      <w:r w:rsidR="00863d46">
        <w:rPr>
          <w:sz w:val="28"/>
          <w:szCs w:val="28"/>
          <w:rFonts w:ascii="Times New Roman" w:hAnsi="Times New Roman"/>
        </w:rPr>
        <w:t xml:space="preserve">-</w:t>
      </w:r>
      <w:r w:rsidR="00887cd8" w:rsidRPr="00887cd8">
        <w:rPr>
          <w:sz w:val="28"/>
          <w:szCs w:val="28"/>
          <w:rFonts w:ascii="Times New Roman" w:hAnsi="Times New Roman"/>
        </w:rPr>
        <w:t xml:space="preserve"> Городская Дума </w:t>
      </w:r>
      <w:r w:rsidR="00887cd8" w:rsidRPr="00887cd8">
        <w:rPr>
          <w:sz w:val="28"/>
          <w:szCs w:val="28"/>
          <w:rFonts w:ascii="Times New Roman" w:eastAsia="Calibri" w:hAnsi="Times New Roman"/>
        </w:rPr>
        <w:t xml:space="preserve">Петропавловск-Камчатского городского округа </w:t>
      </w:r>
      <w:r w:rsidR="00887cd8" w:rsidRPr="00887cd8">
        <w:rPr>
          <w:sz w:val="28"/>
          <w:szCs w:val="28"/>
          <w:rFonts w:ascii="Times New Roman" w:hAnsi="Times New Roman"/>
        </w:rPr>
        <w:t xml:space="preserve">(далее</w:t>
      </w:r>
      <w:r w:rsidR="00863d46" w:rsidRPr="00887cd8">
        <w:rPr>
          <w:sz w:val="28"/>
          <w:szCs w:val="28"/>
          <w:rFonts w:ascii="Times New Roman" w:hAnsi="Times New Roman"/>
        </w:rPr>
        <w:t xml:space="preserve"> – </w:t>
      </w:r>
      <w:r w:rsidR="00887cd8" w:rsidRPr="00887cd8">
        <w:rPr>
          <w:sz w:val="28"/>
          <w:szCs w:val="28"/>
          <w:rFonts w:ascii="Times New Roman" w:hAnsi="Times New Roman"/>
        </w:rPr>
        <w:t xml:space="preserve">Городская Дума);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887cd8" w:rsidRPr="00af197c">
        <w:rPr>
          <w:sz w:val="28"/>
          <w:szCs w:val="28"/>
          <w:rFonts w:ascii="Times New Roman" w:hAnsi="Times New Roman"/>
        </w:rPr>
        <w:t xml:space="preserve">2) Глава Петропавловск-Камчатского городского округа (далее</w:t>
      </w:r>
      <w:r w:rsidR="00863d46" w:rsidRPr="00887cd8">
        <w:rPr>
          <w:sz w:val="28"/>
          <w:szCs w:val="28"/>
          <w:rFonts w:ascii="Times New Roman" w:hAnsi="Times New Roman"/>
        </w:rPr>
        <w:t xml:space="preserve"> – </w:t>
      </w:r>
      <w:r w:rsidR="00887cd8" w:rsidRPr="00af197c">
        <w:rPr>
          <w:sz w:val="28"/>
          <w:szCs w:val="28"/>
          <w:rFonts w:ascii="Times New Roman" w:hAnsi="Times New Roman"/>
        </w:rPr>
        <w:t xml:space="preserve">Глава г</w:t>
      </w:r>
      <w:r w:rsidR="00887cd8" w:rsidRPr="00af197c">
        <w:rPr>
          <w:sz w:val="28"/>
          <w:szCs w:val="28"/>
          <w:rFonts w:ascii="Times New Roman" w:hAnsi="Times New Roman"/>
        </w:rPr>
        <w:t xml:space="preserve">о</w:t>
      </w:r>
      <w:r w:rsidR="00887cd8" w:rsidRPr="00af197c">
        <w:rPr>
          <w:sz w:val="28"/>
          <w:szCs w:val="28"/>
          <w:rFonts w:ascii="Times New Roman" w:hAnsi="Times New Roman"/>
        </w:rPr>
        <w:t xml:space="preserve">родского округа);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af197c">
        <w:rPr>
          <w:sz w:val="28"/>
          <w:szCs w:val="28"/>
          <w:rFonts w:ascii="Times New Roman" w:hAnsi="Times New Roman"/>
        </w:rPr>
        <w:t xml:space="preserve">3</w:t>
      </w:r>
      <w:r w:rsidR="00af197c" w:rsidRPr="00887cd8">
        <w:rPr>
          <w:sz w:val="28"/>
          <w:szCs w:val="28"/>
          <w:rFonts w:ascii="Times New Roman" w:hAnsi="Times New Roman"/>
        </w:rPr>
        <w:t xml:space="preserve">) исполнительно-распорядительный орган городского округа - администрация Петропа</w:t>
      </w:r>
      <w:r w:rsidR="00af197c" w:rsidRPr="00887cd8">
        <w:rPr>
          <w:sz w:val="28"/>
          <w:szCs w:val="28"/>
          <w:rFonts w:ascii="Times New Roman" w:hAnsi="Times New Roman"/>
        </w:rPr>
        <w:t xml:space="preserve">в</w:t>
      </w:r>
      <w:r w:rsidR="00af197c" w:rsidRPr="00887cd8">
        <w:rPr>
          <w:sz w:val="28"/>
          <w:szCs w:val="28"/>
          <w:rFonts w:ascii="Times New Roman" w:hAnsi="Times New Roman"/>
        </w:rPr>
        <w:t xml:space="preserve">ловск-Камчатского городского округа (далее</w:t>
      </w:r>
      <w:r w:rsidR="00863d46" w:rsidRPr="00887cd8">
        <w:rPr>
          <w:sz w:val="28"/>
          <w:szCs w:val="28"/>
          <w:rFonts w:ascii="Times New Roman" w:hAnsi="Times New Roman"/>
        </w:rPr>
        <w:t xml:space="preserve"> – </w:t>
      </w:r>
      <w:r w:rsidR="00af197c" w:rsidRPr="00887cd8">
        <w:rPr>
          <w:sz w:val="28"/>
          <w:szCs w:val="28"/>
          <w:rFonts w:ascii="Times New Roman" w:hAnsi="Times New Roman"/>
        </w:rPr>
        <w:t xml:space="preserve">администрация горо</w:t>
      </w:r>
      <w:r w:rsidR="00af197c" w:rsidRPr="00887cd8">
        <w:rPr>
          <w:sz w:val="28"/>
          <w:szCs w:val="28"/>
          <w:rFonts w:ascii="Times New Roman" w:hAnsi="Times New Roman"/>
        </w:rPr>
        <w:t xml:space="preserve">д</w:t>
      </w:r>
      <w:r w:rsidR="00af197c">
        <w:rPr>
          <w:sz w:val="28"/>
          <w:szCs w:val="28"/>
          <w:rFonts w:ascii="Times New Roman" w:hAnsi="Times New Roman"/>
        </w:rPr>
        <w:t xml:space="preserve">ского округа);</w:t>
      </w:r>
      <w:r w:rsidR="00af197c" w:rsidRPr="00887cd8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af197c">
        <w:rPr>
          <w:sz w:val="28"/>
          <w:szCs w:val="28"/>
          <w:rFonts w:ascii="Times New Roman" w:hAnsi="Times New Roman"/>
        </w:rPr>
        <w:t xml:space="preserve">4</w:t>
      </w:r>
      <w:r w:rsidR="00887cd8" w:rsidRPr="00887cd8">
        <w:rPr>
          <w:sz w:val="28"/>
          <w:szCs w:val="28"/>
          <w:rFonts w:ascii="Times New Roman" w:hAnsi="Times New Roman"/>
        </w:rPr>
        <w:t xml:space="preserve">) контрольный орган - Контрольно-счетная палата Петропавловск-Камчатского г</w:t>
      </w:r>
      <w:r w:rsidR="00887cd8" w:rsidRPr="00887cd8">
        <w:rPr>
          <w:sz w:val="28"/>
          <w:szCs w:val="28"/>
          <w:rFonts w:ascii="Times New Roman" w:hAnsi="Times New Roman"/>
        </w:rPr>
        <w:t xml:space="preserve">о</w:t>
      </w:r>
      <w:r w:rsidR="00887cd8" w:rsidRPr="00887cd8">
        <w:rPr>
          <w:sz w:val="28"/>
          <w:szCs w:val="28"/>
          <w:rFonts w:ascii="Times New Roman" w:hAnsi="Times New Roman"/>
        </w:rPr>
        <w:t xml:space="preserve">родского округа (далее</w:t>
      </w:r>
      <w:r w:rsidR="00863d46" w:rsidRPr="00887cd8">
        <w:rPr>
          <w:sz w:val="28"/>
          <w:szCs w:val="28"/>
          <w:rFonts w:ascii="Times New Roman" w:hAnsi="Times New Roman"/>
        </w:rPr>
        <w:t xml:space="preserve"> – </w:t>
      </w:r>
      <w:r w:rsidR="00887cd8" w:rsidRPr="00887cd8">
        <w:rPr>
          <w:sz w:val="28"/>
          <w:szCs w:val="28"/>
          <w:rFonts w:ascii="Times New Roman" w:hAnsi="Times New Roman"/>
        </w:rPr>
        <w:t xml:space="preserve">Контрольно-сч</w:t>
      </w:r>
      <w:r w:rsidR="00af197c">
        <w:rPr>
          <w:sz w:val="28"/>
          <w:szCs w:val="28"/>
          <w:rFonts w:ascii="Times New Roman" w:hAnsi="Times New Roman"/>
        </w:rPr>
        <w:t xml:space="preserve">етная палата городского округа).</w:t>
      </w:r>
      <w:r w:rsidR="00887cd8" w:rsidRPr="00887cd8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887cd8" w:rsidRPr="00a276c0">
        <w:rPr>
          <w:sz w:val="28"/>
          <w:szCs w:val="28"/>
          <w:rFonts w:ascii="Times New Roman" w:hAnsi="Times New Roman"/>
        </w:rPr>
        <w:t xml:space="preserve">3. Материально-техническое и организационное обеспечение деятельности органов местного самоуправления </w:t>
      </w:r>
      <w:r w:rsidR="00887cd8" w:rsidRPr="00a276c0">
        <w:rPr>
          <w:sz w:val="28"/>
          <w:szCs w:val="28"/>
          <w:rFonts w:ascii="Times New Roman" w:eastAsia="Calibri" w:hAnsi="Times New Roman"/>
        </w:rPr>
        <w:t xml:space="preserve">городского округа</w:t>
      </w:r>
      <w:r w:rsidR="00887cd8" w:rsidRPr="00a276c0">
        <w:rPr>
          <w:sz w:val="28"/>
          <w:szCs w:val="28"/>
          <w:rFonts w:ascii="Times New Roman" w:hAnsi="Times New Roman"/>
        </w:rPr>
        <w:t xml:space="preserve"> предназначено для осуществления функционирования</w:t>
      </w:r>
      <w:r w:rsidR="00887cd8" w:rsidRPr="00887cd8">
        <w:rPr>
          <w:sz w:val="28"/>
          <w:szCs w:val="28"/>
          <w:rFonts w:ascii="Times New Roman" w:hAnsi="Times New Roman"/>
        </w:rPr>
        <w:t xml:space="preserve">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</w:t>
      </w:r>
      <w:r w:rsidR="008b6e1c">
        <w:rPr>
          <w:sz w:val="28"/>
          <w:szCs w:val="28"/>
          <w:rFonts w:ascii="Times New Roman" w:hAnsi="Times New Roman"/>
        </w:rPr>
        <w:t xml:space="preserve">, а также вопросов,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значения.</w:t>
      </w:r>
      <w:r w:rsidR="00887cd8" w:rsidRPr="00887cd8">
        <w:rPr>
          <w:sz w:val="28"/>
          <w:szCs w:val="28"/>
          <w:rFonts w:ascii="Times New Roman" w:hAnsi="Times New Roman"/>
        </w:rPr>
      </w:r>
    </w:p>
    <w:p w:rsidP="00b84708">
      <w:pPr>
        <w:pStyle w:val="Normal"/>
        <w:rPr>
          <w:sz w:val="28"/>
          <w:szCs w:val="28"/>
          <w:rFonts w:eastAsia="Calibri"/>
        </w:rPr>
        <w:autoSpaceDE w:val="off"/>
        <w:autoSpaceDN w:val="off"/>
        <w:outlineLvl w:val="0"/>
        <w:ind w:firstLine="709"/>
        <w:jc w:val="both"/>
      </w:pPr>
      <w:r w:rsidR="00887cd8">
        <w:rPr>
          <w:sz w:val="28"/>
          <w:szCs w:val="28"/>
          <w:rFonts w:eastAsia="Calibri"/>
        </w:rPr>
      </w:r>
    </w:p>
    <w:p w:rsidP="00b84708">
      <w:pPr>
        <w:pStyle w:val="Normal"/>
        <w:rPr>
          <w:sz w:val="28"/>
          <w:szCs w:val="28"/>
          <w:rFonts w:eastAsia="Calibri"/>
        </w:rPr>
        <w:ind w:firstLine="709"/>
      </w:pPr>
      <w:r w:rsidR="00a276c0" w:rsidRPr="00af197c">
        <w:rPr>
          <w:b/>
          <w:sz w:val="28"/>
          <w:szCs w:val="28"/>
        </w:rPr>
        <w:t xml:space="preserve">Статья 2. Понятия, используемые в настоящем Решении</w:t>
      </w:r>
      <w:r w:rsidR="00a276c0">
        <w:rPr>
          <w:sz w:val="28"/>
          <w:szCs w:val="28"/>
          <w:rFonts w:eastAsia="Calibri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a276c0" w:rsidRPr="00a276c0">
        <w:rPr>
          <w:sz w:val="28"/>
          <w:szCs w:val="28"/>
          <w:rFonts w:ascii="Times New Roman" w:hAnsi="Times New Roman"/>
        </w:rPr>
        <w:t xml:space="preserve">1.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</w:t>
      </w:r>
      <w:r w:rsidR="00af197c">
        <w:rPr>
          <w:sz w:val="28"/>
          <w:szCs w:val="28"/>
          <w:rFonts w:ascii="Times New Roman" w:hAnsi="Times New Roman"/>
        </w:rPr>
        <w:t xml:space="preserve">должностных </w:t>
      </w:r>
      <w:r w:rsidR="00a276c0" w:rsidRPr="00a276c0">
        <w:rPr>
          <w:sz w:val="28"/>
          <w:szCs w:val="28"/>
          <w:rFonts w:ascii="Times New Roman" w:hAnsi="Times New Roman"/>
        </w:rPr>
        <w:t xml:space="preserve">лиц, работников органов местного самоуправления необходимым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a276c0" w:rsidRPr="00a276c0">
        <w:rPr>
          <w:sz w:val="28"/>
          <w:szCs w:val="28"/>
          <w:rFonts w:ascii="Times New Roman" w:hAnsi="Times New Roman"/>
        </w:rPr>
        <w:t xml:space="preserve">2. Организационное обеспечение деятельности органов местного самоуправления - создание организационных, информационных и иных условий в целях стабильного функционирования органов местного самоуправления, работников органов местного самоуправления, исполнения соответствующих полномочий и должностных обязанностей.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a276c0" w:rsidRPr="00a276c0">
        <w:rPr>
          <w:sz w:val="28"/>
          <w:szCs w:val="28"/>
          <w:rFonts w:ascii="Times New Roman" w:hAnsi="Times New Roman"/>
        </w:rPr>
        <w:t xml:space="preserve">3. Работники органов местного самоуправления - муниципальные служащие и лица, исполняющие обязанности по техническому обеспечению деятельности органов местного самоуправления </w:t>
      </w:r>
      <w:r w:rsidR="00a276c0">
        <w:rPr>
          <w:sz w:val="28"/>
          <w:szCs w:val="28"/>
          <w:rFonts w:ascii="Times New Roman" w:hAnsi="Times New Roman"/>
        </w:rPr>
        <w:t xml:space="preserve">городского округа</w:t>
      </w:r>
      <w:r w:rsidR="00a276c0" w:rsidRPr="00a276c0">
        <w:rPr>
          <w:sz w:val="28"/>
          <w:szCs w:val="28"/>
          <w:rFonts w:ascii="Times New Roman" w:hAnsi="Times New Roman"/>
        </w:rPr>
        <w:t xml:space="preserve">.</w:t>
      </w:r>
    </w:p>
    <w:p w:rsidP="00b84708">
      <w:pPr>
        <w:pStyle w:val="Normal"/>
        <w:rPr>
          <w:sz w:val="28"/>
          <w:szCs w:val="28"/>
          <w:rFonts w:eastAsia="Calibri"/>
        </w:rPr>
        <w:autoSpaceDE w:val="off"/>
        <w:autoSpaceDN w:val="off"/>
        <w:outlineLvl w:val="0"/>
        <w:ind w:firstLine="709"/>
        <w:jc w:val="both"/>
      </w:pPr>
      <w:r w:rsidR="009a264f" w:rsidRPr="00be3fa8">
        <w:rPr>
          <w:sz w:val="28"/>
          <w:szCs w:val="28"/>
          <w:rFonts w:eastAsia="Calibri"/>
        </w:rPr>
        <w:t xml:space="preserve"> </w:t>
      </w:r>
      <w:r w:rsidR="00a276c0">
        <w:rPr>
          <w:sz w:val="28"/>
          <w:szCs w:val="28"/>
          <w:rFonts w:eastAsia="Calibri"/>
        </w:rPr>
      </w:r>
    </w:p>
    <w:p w:rsidP="00b84708">
      <w:pPr>
        <w:pStyle w:val="Normal"/>
        <w:rPr>
          <w:sz w:val="28"/>
          <w:szCs w:val="28"/>
          <w:rFonts w:eastAsia="Calibri"/>
        </w:rPr>
        <w:autoSpaceDE w:val="off"/>
        <w:autoSpaceDN w:val="off"/>
        <w:outlineLvl w:val="0"/>
        <w:ind w:firstLine="709"/>
        <w:jc w:val="both"/>
      </w:pPr>
      <w:r w:rsidR="00a276c0" w:rsidRPr="00af197c">
        <w:rPr>
          <w:b/>
          <w:sz w:val="28"/>
          <w:szCs w:val="28"/>
          <w:rFonts w:eastAsia="Calibri"/>
        </w:rPr>
        <w:t xml:space="preserve">Статья 3. </w:t>
      </w:r>
      <w:r w:rsidR="00e0351c" w:rsidRPr="00af197c">
        <w:rPr>
          <w:b/>
          <w:sz w:val="28"/>
          <w:szCs w:val="28"/>
          <w:rFonts w:eastAsia="Calibri"/>
        </w:rPr>
        <w:t xml:space="preserve">Состав и содержание м</w:t>
      </w:r>
      <w:r w:rsidR="00e0351c" w:rsidRPr="00af197c">
        <w:rPr>
          <w:b/>
          <w:sz w:val="28"/>
          <w:szCs w:val="28"/>
        </w:rPr>
        <w:t xml:space="preserve">атериально-технического и организационного обеспечения</w:t>
      </w:r>
      <w:r w:rsidR="00e0351c" w:rsidRPr="00e0351c">
        <w:rPr>
          <w:sz w:val="28"/>
          <w:szCs w:val="28"/>
          <w:rFonts w:eastAsia="Calibri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0351c" w:rsidRPr="00e0351c">
        <w:rPr>
          <w:sz w:val="28"/>
          <w:szCs w:val="28"/>
          <w:rFonts w:ascii="Times New Roman" w:hAnsi="Times New Roman"/>
        </w:rPr>
        <w:t xml:space="preserve">1. Материально-техническое обеспечение </w:t>
      </w:r>
      <w:r w:rsidR="00022cd4">
        <w:rPr>
          <w:sz w:val="28"/>
          <w:szCs w:val="28"/>
          <w:rFonts w:ascii="Times New Roman" w:hAnsi="Times New Roman"/>
        </w:rPr>
        <w:t xml:space="preserve">включает в себя следующее</w:t>
      </w:r>
      <w:r w:rsidR="00e0351c" w:rsidRPr="00e0351c">
        <w:rPr>
          <w:sz w:val="28"/>
          <w:szCs w:val="28"/>
          <w:rFonts w:ascii="Times New Roman" w:hAnsi="Times New Roman"/>
        </w:rPr>
        <w:t xml:space="preserve">: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0351c" w:rsidRPr="00e0351c">
        <w:rPr>
          <w:sz w:val="28"/>
          <w:szCs w:val="28"/>
          <w:rFonts w:ascii="Times New Roman" w:hAnsi="Times New Roman"/>
        </w:rPr>
        <w:t xml:space="preserve">1) хозяйственное содержание административных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территорий, в состоянии, соответствующем противопожарным, санитарным, экологическим и иным установленным законодательством требованиям (в том числе безвозмездное пользование муниципальным имуществом, предназначенным для обеспечения деятельности органов местного самоуправления), оплату коммунальных услуг, услуг связи (телефонной, телеграфной, почтовой, сотовой, информаци</w:t>
      </w:r>
      <w:r w:rsidR="00863d46">
        <w:rPr>
          <w:sz w:val="28"/>
          <w:szCs w:val="28"/>
          <w:rFonts w:ascii="Times New Roman" w:hAnsi="Times New Roman"/>
        </w:rPr>
        <w:t xml:space="preserve">онно-телекоммуникационной сети «Интернет»</w:t>
      </w:r>
      <w:r w:rsidR="00e0351c" w:rsidRPr="00e0351c">
        <w:rPr>
          <w:sz w:val="28"/>
          <w:szCs w:val="28"/>
          <w:rFonts w:ascii="Times New Roman" w:hAnsi="Times New Roman"/>
        </w:rPr>
        <w:t xml:space="preserve">),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охрану помещений (установка, наладка и эксплуатация охранной и пожарной сигнализации, приборов видеонаблюдения);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0351c" w:rsidRPr="00e0351c">
        <w:rPr>
          <w:sz w:val="28"/>
          <w:szCs w:val="28"/>
          <w:rFonts w:ascii="Times New Roman" w:hAnsi="Times New Roman"/>
        </w:rPr>
        <w:t xml:space="preserve">2) организацию и содержание рабочих мест, в том числе оборудование мебелью, обеспечение канцелярскими принадлежностями, средствами связи;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0351c" w:rsidRPr="00e0351c">
        <w:rPr>
          <w:sz w:val="28"/>
          <w:szCs w:val="28"/>
          <w:rFonts w:ascii="Times New Roman" w:hAnsi="Times New Roman"/>
        </w:rPr>
        <w:t xml:space="preserve">3) транспортное обслуживание органов местного самоуправления в служебных целях, в том числе содержание и эксплуатацию автотранспортных средств, поддержание их в технически исправном состоянии, приобретение </w:t>
      </w:r>
      <w:r w:rsidR="0078532f">
        <w:rPr>
          <w:sz w:val="28"/>
          <w:szCs w:val="28"/>
          <w:rFonts w:ascii="Times New Roman" w:hAnsi="Times New Roman"/>
        </w:rPr>
        <w:t xml:space="preserve">топливно-</w:t>
      </w:r>
      <w:r w:rsidR="00e0351c" w:rsidRPr="00e0351c">
        <w:rPr>
          <w:sz w:val="28"/>
          <w:szCs w:val="28"/>
          <w:rFonts w:ascii="Times New Roman" w:hAnsi="Times New Roman"/>
        </w:rPr>
        <w:t xml:space="preserve">эксплуатационных материалов (</w:t>
      </w:r>
      <w:r w:rsidR="0078532f">
        <w:rPr>
          <w:sz w:val="28"/>
          <w:szCs w:val="28"/>
          <w:rFonts w:ascii="Times New Roman" w:hAnsi="Times New Roman"/>
        </w:rPr>
        <w:t xml:space="preserve">топлива</w:t>
      </w:r>
      <w:r w:rsidR="00e0351c" w:rsidRPr="00e0351c">
        <w:rPr>
          <w:sz w:val="28"/>
          <w:szCs w:val="28"/>
          <w:rFonts w:ascii="Times New Roman" w:hAnsi="Times New Roman"/>
        </w:rPr>
        <w:t xml:space="preserve">, масел, запасных частей, прохождение технического осмотра, техническое обслуживание, текущий ремонт и др.) в соответствии с лимитами содержания служебного легкового автотранспорта и лимитами его пробега;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0351c" w:rsidRPr="00e0351c">
        <w:rPr>
          <w:sz w:val="28"/>
          <w:szCs w:val="28"/>
          <w:rFonts w:ascii="Times New Roman" w:hAnsi="Times New Roman"/>
        </w:rPr>
        <w:t xml:space="preserve">4) обеспечение компьютерной, вычислительной и иной оргтехникой, программным обеспечением, комплектующими, расходными материалами и ее обслуживание, информационное сопровождение нормативных правовых баз данных, лицензионное программное обеспечение, обновление справочно-информационных баз данных с учетом изучения спроса, потребности с учетом морального износа и технического состояния;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2. Организационное обеспечение включает в себя следующее</w:t>
      </w:r>
      <w:r w:rsidR="00022cd4" w:rsidRPr="00e0351c">
        <w:rPr>
          <w:sz w:val="28"/>
          <w:szCs w:val="28"/>
          <w:rFonts w:ascii="Times New Roman" w:hAnsi="Times New Roman"/>
        </w:rPr>
        <w:t xml:space="preserve">:</w:t>
      </w:r>
      <w:r w:rsidR="00022cd4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1</w:t>
      </w:r>
      <w:r w:rsidR="00e0351c" w:rsidRPr="00e0351c">
        <w:rPr>
          <w:sz w:val="28"/>
          <w:szCs w:val="28"/>
          <w:rFonts w:ascii="Times New Roman" w:hAnsi="Times New Roman"/>
        </w:rPr>
        <w:t xml:space="preserve">) кадровое обеспечение с учетом квалификационных требований и наличия соответствующего профессионального образования, организацию подготовки, переподготовки и повышение квалификации муниципальных служащих, обучающие семинары и курсы;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2</w:t>
      </w:r>
      <w:r w:rsidR="00e0351c" w:rsidRPr="00e0351c">
        <w:rPr>
          <w:sz w:val="28"/>
          <w:szCs w:val="28"/>
          <w:rFonts w:ascii="Times New Roman" w:hAnsi="Times New Roman"/>
        </w:rPr>
        <w:t xml:space="preserve">) организацию и ведение бухгалтерского учета;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3</w:t>
      </w:r>
      <w:r w:rsidR="00e0351c" w:rsidRPr="00e0351c">
        <w:rPr>
          <w:sz w:val="28"/>
          <w:szCs w:val="28"/>
          <w:rFonts w:ascii="Times New Roman" w:hAnsi="Times New Roman"/>
        </w:rPr>
        <w:t xml:space="preserve">) организацию делопроизводства;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4</w:t>
      </w:r>
      <w:r w:rsidR="00e0351c" w:rsidRPr="00e0351c">
        <w:rPr>
          <w:sz w:val="28"/>
          <w:szCs w:val="28"/>
          <w:rFonts w:ascii="Times New Roman" w:hAnsi="Times New Roman"/>
        </w:rPr>
        <w:t xml:space="preserve">) правовое обеспечение и лингвистическую обработку принимаемых правовых актов;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5</w:t>
      </w:r>
      <w:r w:rsidR="00e0351c" w:rsidRPr="00e0351c">
        <w:rPr>
          <w:sz w:val="28"/>
          <w:szCs w:val="28"/>
          <w:rFonts w:ascii="Times New Roman" w:hAnsi="Times New Roman"/>
        </w:rPr>
        <w:t xml:space="preserve">) архивное обеспечение;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22cd4">
        <w:rPr>
          <w:sz w:val="28"/>
          <w:szCs w:val="28"/>
          <w:rFonts w:ascii="Times New Roman" w:hAnsi="Times New Roman"/>
        </w:rPr>
        <w:t xml:space="preserve">6</w:t>
      </w:r>
      <w:r w:rsidR="00e0351c" w:rsidRPr="00e0351c">
        <w:rPr>
          <w:sz w:val="28"/>
          <w:szCs w:val="28"/>
          <w:rFonts w:ascii="Times New Roman" w:hAnsi="Times New Roman"/>
        </w:rPr>
        <w:t xml:space="preserve">) машинописные и множительно-копировальные работы;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d0f09">
        <w:rPr>
          <w:sz w:val="28"/>
          <w:szCs w:val="28"/>
          <w:rFonts w:ascii="Times New Roman" w:hAnsi="Times New Roman"/>
        </w:rPr>
        <w:t xml:space="preserve">7</w:t>
      </w:r>
      <w:r w:rsidR="00e0351c" w:rsidRPr="00e0351c">
        <w:rPr>
          <w:sz w:val="28"/>
          <w:szCs w:val="28"/>
          <w:rFonts w:ascii="Times New Roman" w:hAnsi="Times New Roman"/>
        </w:rPr>
        <w:t xml:space="preserve">) обеспечение информирования населения </w:t>
      </w:r>
      <w:r w:rsidR="0078532f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 </w:t>
      </w:r>
      <w:r w:rsidR="00e0351c" w:rsidRPr="00e0351c">
        <w:rPr>
          <w:sz w:val="28"/>
          <w:szCs w:val="28"/>
          <w:rFonts w:ascii="Times New Roman" w:hAnsi="Times New Roman"/>
        </w:rPr>
        <w:t xml:space="preserve">о деятельности органов местного самоуправления городского округа, в том числе оплату услуг, связанных с публикацией и размещением официальной информации о деятельности органов местного самоуправления городского округа в средствах массовой информации, подготовку и размещение информационных, справочных, методических материалов;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d0f09">
        <w:rPr>
          <w:sz w:val="28"/>
          <w:szCs w:val="28"/>
          <w:rFonts w:ascii="Times New Roman" w:hAnsi="Times New Roman"/>
        </w:rPr>
        <w:t xml:space="preserve">8</w:t>
      </w:r>
      <w:r w:rsidR="00e0351c" w:rsidRPr="00e0351c">
        <w:rPr>
          <w:sz w:val="28"/>
          <w:szCs w:val="28"/>
          <w:rFonts w:ascii="Times New Roman" w:hAnsi="Times New Roman"/>
        </w:rPr>
        <w:t xml:space="preserve">) обеспечение взаимодействия с федеральными органами государственной власти, органами государственной власти Камчатского края, органами местного самоуправления иных муниципальных образований, общественными и иными организациями</w:t>
      </w:r>
      <w:r w:rsidR="00e11f6b">
        <w:rPr>
          <w:sz w:val="28"/>
          <w:szCs w:val="28"/>
          <w:rFonts w:ascii="Times New Roman" w:hAnsi="Times New Roman"/>
        </w:rPr>
        <w:t xml:space="preserve">, </w:t>
      </w:r>
      <w:r w:rsidR="00e11f6b" w:rsidRPr="00e11f6b">
        <w:rPr>
          <w:sz w:val="28"/>
          <w:szCs w:val="28"/>
          <w:rFonts w:ascii="Times New Roman" w:hAnsi="Times New Roman"/>
        </w:rPr>
        <w:t xml:space="preserve">нез</w:t>
      </w:r>
      <w:r w:rsidR="00e11f6b" w:rsidRPr="00e11f6b">
        <w:rPr>
          <w:sz w:val="28"/>
          <w:szCs w:val="28"/>
          <w:rFonts w:ascii="Times New Roman" w:hAnsi="Times New Roman"/>
        </w:rPr>
        <w:t xml:space="preserve">а</w:t>
      </w:r>
      <w:r w:rsidR="00e11f6b" w:rsidRPr="00e11f6b">
        <w:rPr>
          <w:sz w:val="28"/>
          <w:szCs w:val="28"/>
          <w:rFonts w:ascii="Times New Roman" w:hAnsi="Times New Roman"/>
        </w:rPr>
        <w:t xml:space="preserve">висимо от форм собственности и организационно-правовых форм</w:t>
      </w:r>
      <w:r w:rsidR="00e0351c" w:rsidRPr="00e11f6b">
        <w:rPr>
          <w:sz w:val="28"/>
          <w:szCs w:val="28"/>
          <w:rFonts w:ascii="Times New Roman" w:hAnsi="Times New Roman"/>
        </w:rPr>
        <w:t xml:space="preserve">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d0f09">
        <w:rPr>
          <w:sz w:val="28"/>
          <w:szCs w:val="28"/>
          <w:rFonts w:ascii="Times New Roman" w:hAnsi="Times New Roman"/>
        </w:rPr>
        <w:t xml:space="preserve">9</w:t>
      </w:r>
      <w:r w:rsidR="00e0351c" w:rsidRPr="00e0351c">
        <w:rPr>
          <w:sz w:val="28"/>
          <w:szCs w:val="28"/>
          <w:rFonts w:ascii="Times New Roman" w:hAnsi="Times New Roman"/>
        </w:rPr>
        <w:t xml:space="preserve">) иные мероприятия и расходы, направленные на обеспечение функционирования органов местного самоупр</w:t>
      </w:r>
      <w:r w:rsidR="00c84fe7">
        <w:rPr>
          <w:sz w:val="28"/>
          <w:szCs w:val="28"/>
          <w:rFonts w:ascii="Times New Roman" w:hAnsi="Times New Roman"/>
        </w:rPr>
        <w:t xml:space="preserve">авления городского округа;</w:t>
      </w:r>
      <w:r w:rsidR="00e0351c" w:rsidRPr="00e0351c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i/>
          <w:sz w:val="28"/>
          <w:szCs w:val="28"/>
          <w:rFonts w:ascii="Times New Roman" w:hAnsi="Times New Roman"/>
          <w:color w:val="ff0000"/>
        </w:rPr>
        <w:ind w:firstLine="709"/>
        <w:jc w:val="both"/>
      </w:pPr>
      <w:r w:rsidR="00ed0f09" w:rsidRPr="00e0351c">
        <w:rPr>
          <w:sz w:val="28"/>
          <w:szCs w:val="28"/>
          <w:rFonts w:ascii="Times New Roman" w:hAnsi="Times New Roman"/>
        </w:rPr>
        <w:t xml:space="preserve">1</w:t>
      </w:r>
      <w:r w:rsidR="0078532f">
        <w:rPr>
          <w:sz w:val="28"/>
          <w:szCs w:val="28"/>
          <w:rFonts w:ascii="Times New Roman" w:hAnsi="Times New Roman"/>
        </w:rPr>
        <w:t xml:space="preserve">0</w:t>
      </w:r>
      <w:r w:rsidR="00ed0f09" w:rsidRPr="00e0351c">
        <w:rPr>
          <w:sz w:val="28"/>
          <w:szCs w:val="28"/>
          <w:rFonts w:ascii="Times New Roman" w:hAnsi="Times New Roman"/>
        </w:rPr>
        <w:t xml:space="preserve">) обеспечение деятельности коллегиальных, совещательных органов</w:t>
      </w:r>
      <w:r w:rsidR="00760151">
        <w:rPr>
          <w:sz w:val="28"/>
          <w:szCs w:val="28"/>
          <w:rFonts w:ascii="Times New Roman" w:hAnsi="Times New Roman"/>
        </w:rPr>
        <w:t xml:space="preserve"> (комиссий) органов местного самоуправления,</w:t>
      </w:r>
      <w:r w:rsidR="00ed0f09" w:rsidRPr="00e0351c">
        <w:rPr>
          <w:sz w:val="28"/>
          <w:szCs w:val="28"/>
          <w:rFonts w:ascii="Times New Roman" w:hAnsi="Times New Roman"/>
        </w:rPr>
        <w:t xml:space="preserve"> организацию личного приема граждан должностными лицами органов местного самоуправления</w:t>
      </w:r>
      <w:r w:rsidR="0078532f">
        <w:rPr>
          <w:sz w:val="28"/>
          <w:szCs w:val="28"/>
          <w:rFonts w:ascii="Times New Roman" w:hAnsi="Times New Roman"/>
        </w:rPr>
        <w:t xml:space="preserve">.</w:t>
      </w:r>
      <w:r w:rsidR="00ed0f09" w:rsidRPr="00e0351c">
        <w:rPr>
          <w:i/>
          <w:sz w:val="28"/>
          <w:szCs w:val="28"/>
          <w:rFonts w:ascii="Times New Roman" w:hAnsi="Times New Roman"/>
          <w:color w:val="ff0000"/>
        </w:rPr>
      </w:r>
    </w:p>
    <w:p w:rsidP="00b84708">
      <w:pPr>
        <w:pStyle w:val="Normal"/>
        <w:rPr>
          <w:sz w:val="28"/>
          <w:szCs w:val="28"/>
          <w:rFonts w:eastAsia="Calibri"/>
        </w:rPr>
        <w:autoSpaceDE w:val="off"/>
        <w:autoSpaceDN w:val="off"/>
        <w:outlineLvl w:val="0"/>
        <w:ind w:firstLine="709"/>
        <w:jc w:val="both"/>
      </w:pPr>
      <w:r w:rsidR="00e0351c" w:rsidRPr="00e0351c">
        <w:rPr>
          <w:sz w:val="28"/>
          <w:szCs w:val="28"/>
          <w:rFonts w:eastAsia="Calibri"/>
        </w:rPr>
      </w:r>
    </w:p>
    <w:p w:rsidP="00b84708">
      <w:pPr>
        <w:pStyle w:val="Normal"/>
        <w:rPr>
          <w:sz w:val="28"/>
          <w:szCs w:val="28"/>
          <w:rFonts w:eastAsia="Calibri"/>
        </w:rPr>
        <w:autoSpaceDE w:val="off"/>
        <w:autoSpaceDN w:val="off"/>
        <w:outlineLvl w:val="0"/>
        <w:ind w:firstLine="709"/>
        <w:jc w:val="both"/>
      </w:pPr>
      <w:r w:rsidR="00022cd4" w:rsidRPr="0078532f">
        <w:rPr>
          <w:b/>
          <w:sz w:val="28"/>
          <w:szCs w:val="28"/>
          <w:rFonts w:eastAsia="Calibri"/>
        </w:rPr>
        <w:t xml:space="preserve">Статья 4. </w:t>
      </w:r>
      <w:r w:rsidR="00ed0f09" w:rsidRPr="0078532f">
        <w:rPr>
          <w:b/>
          <w:sz w:val="28"/>
          <w:szCs w:val="28"/>
          <w:rFonts w:eastAsia="Calibri"/>
        </w:rPr>
        <w:t xml:space="preserve">Формирование потребностей в материально-техническом и организационном обеспечении деятельности органов местного самоуправления</w:t>
      </w:r>
      <w:r w:rsidR="0078532f">
        <w:rPr>
          <w:b/>
          <w:sz w:val="28"/>
          <w:szCs w:val="28"/>
          <w:rFonts w:eastAsia="Calibri"/>
        </w:rPr>
        <w:t xml:space="preserve"> </w:t>
      </w:r>
      <w:r w:rsidR="00ed0f09" w:rsidRPr="00760151">
        <w:rPr>
          <w:sz w:val="28"/>
          <w:szCs w:val="28"/>
          <w:rFonts w:eastAsia="Calibri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15d98" w:rsidRPr="007c0ae7">
        <w:rPr>
          <w:sz w:val="28"/>
          <w:szCs w:val="28"/>
          <w:rFonts w:ascii="Times New Roman" w:hAnsi="Times New Roman"/>
        </w:rPr>
        <w:t xml:space="preserve"> Руководитель органа местного самоуправления</w:t>
      </w:r>
      <w:r w:rsidR="00e11f6b" w:rsidRPr="007c0ae7">
        <w:rPr>
          <w:sz w:val="28"/>
          <w:szCs w:val="28"/>
          <w:rFonts w:ascii="Times New Roman" w:hAnsi="Times New Roman"/>
        </w:rPr>
        <w:t xml:space="preserve">, должностное лицо местного самоуправления </w:t>
      </w:r>
      <w:r w:rsidR="00715d98" w:rsidRPr="007c0ae7">
        <w:rPr>
          <w:sz w:val="28"/>
          <w:szCs w:val="28"/>
          <w:rFonts w:ascii="Times New Roman" w:hAnsi="Times New Roman"/>
        </w:rPr>
        <w:t xml:space="preserve">определяет </w:t>
      </w:r>
      <w:r w:rsidR="005e093f" w:rsidRPr="007c0ae7">
        <w:rPr>
          <w:sz w:val="28"/>
          <w:szCs w:val="28"/>
          <w:rFonts w:ascii="Times New Roman" w:hAnsi="Times New Roman"/>
        </w:rPr>
        <w:t xml:space="preserve">структурное подразделение или уполномоченное лицо, на которое </w:t>
      </w:r>
      <w:r w:rsidR="007c0ae7">
        <w:rPr>
          <w:sz w:val="28"/>
          <w:szCs w:val="28"/>
          <w:rFonts w:ascii="Times New Roman" w:hAnsi="Times New Roman"/>
        </w:rPr>
        <w:t xml:space="preserve">возлагается</w:t>
      </w:r>
      <w:r w:rsidR="005e093f" w:rsidRPr="007c0ae7">
        <w:rPr>
          <w:sz w:val="28"/>
          <w:szCs w:val="28"/>
          <w:rFonts w:ascii="Times New Roman" w:hAnsi="Times New Roman"/>
        </w:rPr>
        <w:t xml:space="preserve"> </w:t>
      </w:r>
      <w:r w:rsidR="00715d98" w:rsidRPr="007c0ae7">
        <w:rPr>
          <w:sz w:val="28"/>
          <w:szCs w:val="28"/>
          <w:rFonts w:ascii="Times New Roman" w:hAnsi="Times New Roman"/>
        </w:rPr>
        <w:t xml:space="preserve">организаци</w:t>
      </w:r>
      <w:r w:rsidR="005e093f" w:rsidRPr="007c0ae7">
        <w:rPr>
          <w:sz w:val="28"/>
          <w:szCs w:val="28"/>
          <w:rFonts w:ascii="Times New Roman" w:hAnsi="Times New Roman"/>
        </w:rPr>
        <w:t xml:space="preserve">я</w:t>
      </w:r>
      <w:r w:rsidR="00715d98" w:rsidRPr="007c0ae7">
        <w:rPr>
          <w:sz w:val="28"/>
          <w:szCs w:val="28"/>
          <w:rFonts w:ascii="Times New Roman" w:hAnsi="Times New Roman"/>
        </w:rPr>
        <w:t xml:space="preserve"> материально-технического и организационного обеспечения деятельности органа местного самоуправления, </w:t>
      </w:r>
      <w:r w:rsidR="005e093f" w:rsidRPr="007c0ae7">
        <w:rPr>
          <w:sz w:val="28"/>
          <w:szCs w:val="28"/>
          <w:rFonts w:ascii="Times New Roman" w:hAnsi="Times New Roman"/>
        </w:rPr>
        <w:t xml:space="preserve">включая</w:t>
      </w:r>
      <w:r w:rsidR="00715d98" w:rsidRPr="007c0ae7">
        <w:rPr>
          <w:sz w:val="28"/>
          <w:szCs w:val="28"/>
          <w:rFonts w:ascii="Times New Roman" w:hAnsi="Times New Roman"/>
        </w:rPr>
        <w:t xml:space="preserve">:</w:t>
      </w:r>
      <w:r w:rsidR="00715d98" w:rsidRPr="00760151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15d98" w:rsidRPr="00760151">
        <w:rPr>
          <w:sz w:val="28"/>
          <w:szCs w:val="28"/>
          <w:rFonts w:ascii="Times New Roman" w:hAnsi="Times New Roman"/>
        </w:rPr>
        <w:t xml:space="preserve">1) определе</w:t>
      </w:r>
      <w:r w:rsidR="005e093f">
        <w:rPr>
          <w:sz w:val="28"/>
          <w:szCs w:val="28"/>
          <w:rFonts w:ascii="Times New Roman" w:hAnsi="Times New Roman"/>
        </w:rPr>
        <w:t xml:space="preserve">ние</w:t>
      </w:r>
      <w:r w:rsidR="00715d98" w:rsidRPr="00760151">
        <w:rPr>
          <w:sz w:val="28"/>
          <w:szCs w:val="28"/>
          <w:rFonts w:ascii="Times New Roman" w:hAnsi="Times New Roman"/>
        </w:rPr>
        <w:t xml:space="preserve"> потребности органа местного самоуправления в соответствующих товарах, работах и услугах;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15d98" w:rsidRPr="00760151">
        <w:rPr>
          <w:sz w:val="28"/>
          <w:szCs w:val="28"/>
          <w:rFonts w:ascii="Times New Roman" w:hAnsi="Times New Roman"/>
        </w:rPr>
        <w:t xml:space="preserve">2) составле</w:t>
      </w:r>
      <w:r w:rsidR="005e093f">
        <w:rPr>
          <w:sz w:val="28"/>
          <w:szCs w:val="28"/>
          <w:rFonts w:ascii="Times New Roman" w:hAnsi="Times New Roman"/>
        </w:rPr>
        <w:t xml:space="preserve">ние</w:t>
      </w:r>
      <w:r w:rsidR="00715d98" w:rsidRPr="00760151">
        <w:rPr>
          <w:sz w:val="28"/>
          <w:szCs w:val="28"/>
          <w:rFonts w:ascii="Times New Roman" w:hAnsi="Times New Roman"/>
        </w:rPr>
        <w:t xml:space="preserve"> проект</w:t>
      </w:r>
      <w:r w:rsidR="00c84fe7">
        <w:rPr>
          <w:sz w:val="28"/>
          <w:szCs w:val="28"/>
          <w:rFonts w:ascii="Times New Roman" w:hAnsi="Times New Roman"/>
        </w:rPr>
        <w:t xml:space="preserve">а</w:t>
      </w:r>
      <w:r w:rsidR="008b6e1c">
        <w:rPr>
          <w:sz w:val="28"/>
          <w:szCs w:val="28"/>
          <w:rFonts w:ascii="Times New Roman" w:hAnsi="Times New Roman"/>
        </w:rPr>
        <w:t xml:space="preserve"> бюджетной сметы </w:t>
      </w:r>
      <w:r w:rsidR="00715d98" w:rsidRPr="00760151">
        <w:rPr>
          <w:sz w:val="28"/>
          <w:szCs w:val="28"/>
          <w:rFonts w:ascii="Times New Roman" w:hAnsi="Times New Roman"/>
        </w:rPr>
        <w:t xml:space="preserve">органа местного самоуправления на очередной финансовый год (с расшифровкой суммы) и представляет его на подписание руководителю соответствующего </w:t>
      </w:r>
      <w:r w:rsidR="00c84fe7">
        <w:rPr>
          <w:sz w:val="28"/>
          <w:szCs w:val="28"/>
          <w:rFonts w:ascii="Times New Roman" w:hAnsi="Times New Roman"/>
        </w:rPr>
        <w:t xml:space="preserve">органа местного самоуправления;</w:t>
      </w:r>
      <w:r w:rsidR="005e093f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5e093f">
        <w:rPr>
          <w:sz w:val="28"/>
          <w:szCs w:val="28"/>
          <w:rFonts w:ascii="Times New Roman" w:hAnsi="Times New Roman"/>
        </w:rPr>
        <w:t xml:space="preserve">3) </w:t>
      </w:r>
      <w:r w:rsidR="00715d98" w:rsidRPr="00760151">
        <w:rPr>
          <w:sz w:val="28"/>
          <w:szCs w:val="28"/>
          <w:rFonts w:ascii="Times New Roman" w:hAnsi="Times New Roman"/>
        </w:rPr>
        <w:t xml:space="preserve">обеспеч</w:t>
      </w:r>
      <w:r w:rsidR="005e093f">
        <w:rPr>
          <w:sz w:val="28"/>
          <w:szCs w:val="28"/>
          <w:rFonts w:ascii="Times New Roman" w:hAnsi="Times New Roman"/>
        </w:rPr>
        <w:t xml:space="preserve">ение</w:t>
      </w:r>
      <w:r w:rsidR="00715d98" w:rsidRPr="00760151">
        <w:rPr>
          <w:sz w:val="28"/>
          <w:szCs w:val="28"/>
          <w:rFonts w:ascii="Times New Roman" w:hAnsi="Times New Roman"/>
        </w:rPr>
        <w:t xml:space="preserve"> выполнени</w:t>
      </w:r>
      <w:r w:rsidR="005e093f">
        <w:rPr>
          <w:sz w:val="28"/>
          <w:szCs w:val="28"/>
          <w:rFonts w:ascii="Times New Roman" w:hAnsi="Times New Roman"/>
        </w:rPr>
        <w:t xml:space="preserve">я</w:t>
      </w:r>
      <w:r w:rsidR="00715d98" w:rsidRPr="00760151">
        <w:rPr>
          <w:sz w:val="28"/>
          <w:szCs w:val="28"/>
          <w:rFonts w:ascii="Times New Roman" w:hAnsi="Times New Roman"/>
        </w:rPr>
        <w:t xml:space="preserve"> утвержденной </w:t>
      </w:r>
      <w:r w:rsidR="008b6e1c">
        <w:rPr>
          <w:sz w:val="28"/>
          <w:szCs w:val="28"/>
          <w:rFonts w:ascii="Times New Roman" w:hAnsi="Times New Roman"/>
        </w:rPr>
        <w:t xml:space="preserve">бюджетной сметы</w:t>
      </w:r>
      <w:r w:rsidR="007c0ae7">
        <w:rPr>
          <w:sz w:val="28"/>
          <w:szCs w:val="28"/>
          <w:rFonts w:ascii="Times New Roman" w:hAnsi="Times New Roman"/>
        </w:rPr>
        <w:t xml:space="preserve"> органа местного самоуправления.</w:t>
      </w:r>
      <w:r w:rsidR="00715d98" w:rsidRPr="00760151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b/>
          <w:sz w:val="28"/>
          <w:szCs w:val="28"/>
          <w:rFonts w:ascii="Times New Roman" w:hAnsi="Times New Roman"/>
        </w:rPr>
        <w:ind w:firstLine="709"/>
        <w:jc w:val="both"/>
      </w:pPr>
      <w:r w:rsidR="004a1b84">
        <w:rPr>
          <w:b/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15d98" w:rsidRPr="005e093f">
        <w:rPr>
          <w:b/>
          <w:sz w:val="28"/>
          <w:szCs w:val="28"/>
          <w:rFonts w:ascii="Times New Roman" w:hAnsi="Times New Roman"/>
        </w:rPr>
        <w:t xml:space="preserve">Статья 5. Обязательства органов местного самоуправления по материально-техническому и организационному обеспечению и их исполнение</w:t>
      </w:r>
      <w:r w:rsidR="00715d98" w:rsidRPr="00760151">
        <w:rPr>
          <w:sz w:val="28"/>
          <w:szCs w:val="28"/>
          <w:rFonts w:ascii="Times New Roman" w:hAnsi="Times New Roman"/>
        </w:rPr>
      </w:r>
    </w:p>
    <w:p w:rsidP="00bd78e2">
      <w:pPr>
        <w:pStyle w:val="Normal"/>
        <w:rPr>
          <w:i/>
        </w:rPr>
      </w:pPr>
      <w:r w:rsidR="00bd78e2" w:rsidRPr="00c35532">
        <w:rPr>
          <w:i/>
        </w:rPr>
        <w:t xml:space="preserve">Решением от 01.11.2016 № 497-нд (26.10.2016 № 1127-р) часть 1изложена в новой редакции</w:t>
      </w:r>
    </w:p>
    <w:p w:rsidP="00bd78e2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d78e2" w:rsidRPr="00c35532">
        <w:rPr>
          <w:sz w:val="28"/>
          <w:szCs w:val="28"/>
          <w:rFonts w:ascii="Times New Roman" w:hAnsi="Times New Roman"/>
        </w:rPr>
        <w:t xml:space="preserve">1. Организация материально-технического и организационного обеспечения Городской Думы возлагается на председателя Городской Думы.</w:t>
      </w:r>
    </w:p>
    <w:p w:rsidP="00bd78e2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d78e2" w:rsidRPr="00c35532">
        <w:rPr>
          <w:sz w:val="28"/>
          <w:szCs w:val="28"/>
          <w:rFonts w:ascii="Times New Roman" w:hAnsi="Times New Roman"/>
        </w:rPr>
        <w:t xml:space="preserve">Организация материально-технического и организационного обеспечения Главы городского округа, администрации городского округа возлагается на Главу городского округа.</w:t>
      </w:r>
    </w:p>
    <w:p w:rsidP="00bd78e2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d78e2" w:rsidRPr="00c35532">
        <w:rPr>
          <w:sz w:val="28"/>
          <w:szCs w:val="28"/>
          <w:rFonts w:ascii="Times New Roman" w:hAnsi="Times New Roman"/>
        </w:rPr>
        <w:t xml:space="preserve">Организация материально-технического и организационного обеспечения Контрольно-счетной палаты возлагается на председателя Контрольно-счетной палаты.</w:t>
      </w:r>
    </w:p>
    <w:p w:rsidP="00bd78e2">
      <w:pPr>
        <w:pStyle w:val="Normal"/>
        <w:rPr>
          <w:i/>
        </w:rPr>
      </w:pPr>
      <w:r w:rsidR="00bd78e2" w:rsidRPr="00c35532">
        <w:rPr>
          <w:i/>
        </w:rPr>
        <w:t xml:space="preserve">Решением от 01.11.2016 № 497-нд (26.10.2016 № 1127-р) в часть 2 внесено изменение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15d98" w:rsidRPr="00c35532">
        <w:rPr>
          <w:sz w:val="28"/>
          <w:szCs w:val="28"/>
          <w:rFonts w:ascii="Times New Roman" w:hAnsi="Times New Roman"/>
        </w:rPr>
        <w:t xml:space="preserve">2. </w:t>
      </w:r>
      <w:r w:rsidR="00760151" w:rsidRPr="00c35532">
        <w:rPr>
          <w:sz w:val="28"/>
          <w:szCs w:val="28"/>
          <w:rFonts w:ascii="Times New Roman" w:hAnsi="Times New Roman"/>
        </w:rPr>
        <w:t xml:space="preserve">Глава городского округа</w:t>
      </w:r>
      <w:r w:rsidR="00715d98" w:rsidRPr="00c35532">
        <w:rPr>
          <w:sz w:val="28"/>
          <w:szCs w:val="28"/>
          <w:rFonts w:ascii="Times New Roman" w:hAnsi="Times New Roman"/>
        </w:rPr>
        <w:t xml:space="preserve">, </w:t>
      </w:r>
      <w:r w:rsidR="00bd78e2" w:rsidRPr="00c35532">
        <w:rPr>
          <w:sz w:val="28"/>
          <w:szCs w:val="28"/>
          <w:rFonts w:ascii="Times New Roman" w:hAnsi="Times New Roman"/>
        </w:rPr>
        <w:t xml:space="preserve">председатель Городской Думы</w:t>
      </w:r>
      <w:r w:rsidR="00715d98" w:rsidRPr="00c35532">
        <w:rPr>
          <w:sz w:val="28"/>
          <w:szCs w:val="28"/>
          <w:rFonts w:ascii="Times New Roman" w:hAnsi="Times New Roman"/>
        </w:rPr>
        <w:t xml:space="preserve">,</w:t>
      </w:r>
      <w:r w:rsidR="00715d98" w:rsidRPr="00760151">
        <w:rPr>
          <w:sz w:val="28"/>
          <w:szCs w:val="28"/>
          <w:rFonts w:ascii="Times New Roman" w:hAnsi="Times New Roman"/>
        </w:rPr>
        <w:t xml:space="preserve"> </w:t>
      </w:r>
      <w:r w:rsidR="00760151" w:rsidRPr="00760151">
        <w:rPr>
          <w:sz w:val="28"/>
          <w:szCs w:val="28"/>
          <w:rFonts w:ascii="Times New Roman" w:hAnsi="Times New Roman"/>
        </w:rPr>
        <w:t xml:space="preserve">председатель Контрольно-счетной палаты городского округа </w:t>
      </w:r>
      <w:r w:rsidR="00715d98" w:rsidRPr="00760151">
        <w:rPr>
          <w:sz w:val="28"/>
          <w:szCs w:val="28"/>
          <w:rFonts w:ascii="Times New Roman" w:hAnsi="Times New Roman"/>
        </w:rPr>
        <w:t xml:space="preserve">являются распорядителями средств.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5e093f">
        <w:rPr>
          <w:sz w:val="28"/>
          <w:szCs w:val="28"/>
          <w:rFonts w:ascii="Times New Roman" w:hAnsi="Times New Roman"/>
        </w:rPr>
        <w:t xml:space="preserve">3</w:t>
      </w:r>
      <w:r w:rsidR="00715d98" w:rsidRPr="00760151">
        <w:rPr>
          <w:sz w:val="28"/>
          <w:szCs w:val="28"/>
          <w:rFonts w:ascii="Times New Roman" w:hAnsi="Times New Roman"/>
        </w:rPr>
        <w:t xml:space="preserve">. Администрация городского округа организует и проводит общегородские мероприятия (включая рассылку пригласительных, поздравительных писем от имени органов местного самоуправления и т.п.), иные публичные мероприятия каждый орган местного самоуправления проводит самостоятельно.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5e093f">
        <w:rPr>
          <w:sz w:val="28"/>
          <w:szCs w:val="28"/>
          <w:rFonts w:ascii="Times New Roman" w:hAnsi="Times New Roman"/>
        </w:rPr>
        <w:t xml:space="preserve">4</w:t>
      </w:r>
      <w:r w:rsidR="00715d98" w:rsidRPr="00760151">
        <w:rPr>
          <w:sz w:val="28"/>
          <w:szCs w:val="28"/>
          <w:rFonts w:ascii="Times New Roman" w:hAnsi="Times New Roman"/>
        </w:rPr>
        <w:t xml:space="preserve">. Организация материально-технического и организационного обеспечения органов местного самоуправления по остальным видам материально-технического и организационного обеспечения осуществляется каждым органом местного самоуправления самостоятельно, в том числе путем заключения договоров, муниципальных контрактов.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5e093f">
        <w:rPr>
          <w:sz w:val="28"/>
          <w:szCs w:val="28"/>
          <w:rFonts w:ascii="Times New Roman" w:hAnsi="Times New Roman"/>
        </w:rPr>
        <w:t xml:space="preserve">5</w:t>
      </w:r>
      <w:r w:rsidR="00715d98" w:rsidRPr="00760151">
        <w:rPr>
          <w:sz w:val="28"/>
          <w:szCs w:val="28"/>
          <w:rFonts w:ascii="Times New Roman" w:hAnsi="Times New Roman"/>
        </w:rPr>
        <w:t xml:space="preserve">. Материальная ответственность за сохранность товарно-материальных ценностей, приобретенных за счет средств</w:t>
      </w:r>
      <w:r w:rsidR="005e093f">
        <w:rPr>
          <w:sz w:val="28"/>
          <w:szCs w:val="28"/>
          <w:rFonts w:ascii="Times New Roman" w:hAnsi="Times New Roman"/>
        </w:rPr>
        <w:t xml:space="preserve"> бюджета городского округа </w:t>
      </w:r>
      <w:r w:rsidR="00715d98" w:rsidRPr="00760151">
        <w:rPr>
          <w:sz w:val="28"/>
          <w:szCs w:val="28"/>
          <w:rFonts w:ascii="Times New Roman" w:hAnsi="Times New Roman"/>
        </w:rPr>
        <w:t xml:space="preserve">и находящихся на балансе органов местного самоуправления (за исключением имущества, находящегося на балансе муниципальной казны), возлагается на уполномоченного работника органа местного самоуправления и оформляется соответствующими договорами о полной материальной ответственности.</w:t>
      </w:r>
      <w:r w:rsidR="00715d98">
        <w:rPr>
          <w:sz w:val="28"/>
          <w:szCs w:val="28"/>
          <w:rFonts w:ascii="Times New Roman" w:hAnsi="Times New Roman"/>
        </w:rPr>
      </w:r>
    </w:p>
    <w:p w:rsidP="004a1b84">
      <w:pPr>
        <w:pStyle w:val="Normal"/>
        <w:rPr>
          <w:i/>
        </w:rPr>
      </w:pPr>
      <w:r w:rsidR="004a1b84">
        <w:rPr>
          <w:i/>
        </w:rPr>
        <w:t xml:space="preserve">Решением от </w:t>
      </w:r>
      <w:r w:rsidR="004a1b84" w:rsidRPr="004a1b84">
        <w:rPr>
          <w:i/>
        </w:rPr>
        <w:t xml:space="preserve">26.06.2013 № 95-нд (19.06.2013 № 227-р)</w:t>
      </w:r>
      <w:r w:rsidR="004a1b84">
        <w:rPr>
          <w:i/>
        </w:rPr>
        <w:t xml:space="preserve"> часть 6 статьи 5 изложена в новой редакции.</w:t>
      </w:r>
      <w:r w:rsidR="004a1b84" w:rsidRPr="004a1b84">
        <w:rPr>
          <w:i/>
        </w:rPr>
      </w:r>
    </w:p>
    <w:p w:rsidP="00b8470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4a1b84">
        <w:rPr>
          <w:sz w:val="28"/>
          <w:szCs w:val="28"/>
        </w:rPr>
        <w:t xml:space="preserve">6. Отдельные функции по м</w:t>
      </w:r>
      <w:r w:rsidR="004a1b84" w:rsidRPr="007b2b58">
        <w:rPr>
          <w:sz w:val="28"/>
          <w:szCs w:val="28"/>
        </w:rPr>
        <w:t xml:space="preserve">атериально-техническо</w:t>
      </w:r>
      <w:r w:rsidR="004a1b84">
        <w:rPr>
          <w:sz w:val="28"/>
          <w:szCs w:val="28"/>
        </w:rPr>
        <w:t xml:space="preserve">му</w:t>
      </w:r>
      <w:r w:rsidR="004a1b84" w:rsidRPr="007b2b58">
        <w:rPr>
          <w:sz w:val="28"/>
          <w:szCs w:val="28"/>
        </w:rPr>
        <w:t xml:space="preserve"> и организационно</w:t>
      </w:r>
      <w:r w:rsidR="004a1b84">
        <w:rPr>
          <w:sz w:val="28"/>
          <w:szCs w:val="28"/>
        </w:rPr>
        <w:t xml:space="preserve">му</w:t>
      </w:r>
      <w:r w:rsidR="004a1b84" w:rsidRPr="007b2b58">
        <w:rPr>
          <w:sz w:val="28"/>
          <w:szCs w:val="28"/>
        </w:rPr>
        <w:t xml:space="preserve"> обеспечени</w:t>
      </w:r>
      <w:r w:rsidR="004a1b84">
        <w:rPr>
          <w:sz w:val="28"/>
          <w:szCs w:val="28"/>
        </w:rPr>
        <w:t xml:space="preserve">ю Городской Думы и Контрольно-счетной палаты могут осуществляться </w:t>
      </w:r>
      <w:r w:rsidR="004a1b84" w:rsidRPr="007b2b58">
        <w:rPr>
          <w:sz w:val="28"/>
          <w:szCs w:val="28"/>
        </w:rPr>
        <w:t xml:space="preserve">а</w:t>
      </w:r>
      <w:r w:rsidR="004a1b84">
        <w:rPr>
          <w:sz w:val="28"/>
          <w:szCs w:val="28"/>
        </w:rPr>
        <w:t xml:space="preserve">дминистрацией</w:t>
      </w:r>
      <w:r w:rsidR="004a1b84" w:rsidRPr="007b2b58">
        <w:rPr>
          <w:sz w:val="28"/>
          <w:szCs w:val="28"/>
        </w:rPr>
        <w:t xml:space="preserve"> городского округа</w:t>
      </w:r>
      <w:r w:rsidR="004a1b84">
        <w:rPr>
          <w:sz w:val="28"/>
          <w:szCs w:val="28"/>
        </w:rPr>
        <w:t xml:space="preserve"> </w:t>
      </w:r>
      <w:r w:rsidR="004a1b84" w:rsidRPr="007b2b58">
        <w:rPr>
          <w:sz w:val="28"/>
          <w:szCs w:val="28"/>
        </w:rPr>
        <w:t xml:space="preserve">на основе соглашений</w:t>
      </w:r>
      <w:r w:rsidR="004a1b84">
        <w:rPr>
          <w:sz w:val="28"/>
          <w:szCs w:val="28"/>
        </w:rPr>
        <w:t xml:space="preserve">.</w:t>
      </w:r>
      <w:r w:rsidR="00804e8f" w:rsidRPr="005e093f">
        <w:rPr>
          <w:sz w:val="28"/>
          <w:szCs w:val="28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531a7">
        <w:rPr>
          <w:sz w:val="28"/>
          <w:szCs w:val="28"/>
          <w:rFonts w:ascii="Times New Roman" w:hAnsi="Times New Roman"/>
        </w:rPr>
        <w:t xml:space="preserve">7</w:t>
      </w:r>
      <w:r w:rsidR="00804e8f">
        <w:rPr>
          <w:sz w:val="28"/>
          <w:szCs w:val="28"/>
          <w:rFonts w:ascii="Times New Roman" w:hAnsi="Times New Roman"/>
        </w:rPr>
        <w:t xml:space="preserve">. </w:t>
      </w:r>
      <w:r w:rsidR="00715d98" w:rsidRPr="00760151">
        <w:rPr>
          <w:sz w:val="28"/>
          <w:szCs w:val="28"/>
          <w:rFonts w:ascii="Times New Roman" w:hAnsi="Times New Roman"/>
        </w:rPr>
        <w:t xml:space="preserve">Органы местного самоуправления самостоятельно решают иные вопросы материально-технического и организационного обеспечения своей деятельности.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15d98" w:rsidRPr="00760151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b/>
          <w:sz w:val="28"/>
          <w:szCs w:val="28"/>
          <w:rFonts w:ascii="Times New Roman" w:hAnsi="Times New Roman"/>
        </w:rPr>
        <w:ind w:firstLine="709"/>
        <w:jc w:val="both"/>
      </w:pPr>
      <w:r w:rsidR="00715d98" w:rsidRPr="00e531a7">
        <w:rPr>
          <w:b/>
          <w:sz w:val="28"/>
          <w:szCs w:val="28"/>
          <w:rFonts w:ascii="Times New Roman" w:hAnsi="Times New Roman"/>
        </w:rPr>
        <w:t xml:space="preserve">Статья 6. Финансирование материально-технического и организационного обеспечения деятельности органов местного самоуправления и контроль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11f6b" w:rsidRPr="00760151">
        <w:rPr>
          <w:sz w:val="28"/>
          <w:szCs w:val="28"/>
          <w:rFonts w:ascii="Times New Roman" w:hAnsi="Times New Roman"/>
        </w:rPr>
        <w:t xml:space="preserve">1. Материально-техническое и организационное обеспечение деятельности органов местного самоуправления осуществляется </w:t>
      </w:r>
      <w:r w:rsidR="007c0ae7">
        <w:rPr>
          <w:sz w:val="28"/>
          <w:szCs w:val="28"/>
          <w:rFonts w:ascii="Times New Roman" w:hAnsi="Times New Roman"/>
        </w:rPr>
        <w:t xml:space="preserve">за счет бюджета городского округа и на основании бюджетных смет.</w:t>
      </w:r>
      <w:r w:rsidR="00e11f6b" w:rsidRPr="00760151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e11f6b">
        <w:rPr>
          <w:sz w:val="28"/>
          <w:szCs w:val="28"/>
          <w:rFonts w:ascii="Times New Roman" w:hAnsi="Times New Roman"/>
        </w:rPr>
        <w:t xml:space="preserve">2</w:t>
      </w:r>
      <w:r w:rsidR="00e11f6b" w:rsidRPr="00760151">
        <w:rPr>
          <w:sz w:val="28"/>
          <w:szCs w:val="28"/>
          <w:rFonts w:ascii="Times New Roman" w:hAnsi="Times New Roman"/>
        </w:rPr>
        <w:t xml:space="preserve">. </w:t>
      </w:r>
      <w:r w:rsidR="007c0ae7">
        <w:rPr>
          <w:sz w:val="28"/>
          <w:szCs w:val="28"/>
          <w:rFonts w:ascii="Times New Roman" w:hAnsi="Times New Roman"/>
        </w:rPr>
        <w:t xml:space="preserve">Бюджетные с</w:t>
      </w:r>
      <w:r w:rsidR="00e11f6b" w:rsidRPr="00760151">
        <w:rPr>
          <w:sz w:val="28"/>
          <w:szCs w:val="28"/>
          <w:rFonts w:ascii="Times New Roman" w:hAnsi="Times New Roman"/>
        </w:rPr>
        <w:t xml:space="preserve">меты, отражающие потребности в материально-технических средствах и организационном обеспечении деятельности органов местного самоуправления, формируются указанными органами самостоятельно в соответствии с утвержденными нормативами и учитываются при составлении проекта бюджета городского округа на очередной финансовый год и заключении соответствующих договоров (контрактов) на оказание услуг.</w:t>
      </w:r>
    </w:p>
    <w:p w:rsidP="00b84708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7c0ae7">
        <w:rPr>
          <w:sz w:val="28"/>
          <w:szCs w:val="28"/>
          <w:rFonts w:ascii="Times New Roman" w:hAnsi="Times New Roman"/>
        </w:rPr>
        <w:t xml:space="preserve">3</w:t>
      </w:r>
      <w:r w:rsidR="00715d98" w:rsidRPr="00760151">
        <w:rPr>
          <w:sz w:val="28"/>
          <w:szCs w:val="28"/>
          <w:rFonts w:ascii="Times New Roman" w:hAnsi="Times New Roman"/>
        </w:rPr>
        <w:t xml:space="preserve">. Контроль за целевым и рациональным использованием средств на содержание органов местного самоуправления осуществляет орган муниципального финансового контроля.</w:t>
      </w:r>
      <w:r w:rsidR="00715d98">
        <w:rPr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b/>
          <w:sz w:val="28"/>
          <w:szCs w:val="28"/>
          <w:rFonts w:ascii="Times New Roman" w:hAnsi="Times New Roman"/>
        </w:rPr>
        <w:ind w:firstLine="709"/>
        <w:jc w:val="both"/>
      </w:pPr>
      <w:r w:rsidR="00e531a7">
        <w:rPr>
          <w:b/>
          <w:sz w:val="28"/>
          <w:szCs w:val="28"/>
          <w:rFonts w:ascii="Times New Roman" w:hAnsi="Times New Roman"/>
        </w:rPr>
      </w:r>
    </w:p>
    <w:p w:rsidP="00b84708">
      <w:pPr>
        <w:pStyle w:val="StGen1"/>
        <w:rPr>
          <w:b/>
          <w:sz w:val="28"/>
          <w:szCs w:val="28"/>
          <w:rFonts w:ascii="Times New Roman" w:hAnsi="Times New Roman"/>
        </w:rPr>
        <w:ind w:firstLine="709"/>
        <w:jc w:val="both"/>
      </w:pPr>
      <w:r w:rsidR="00e531a7" w:rsidRPr="00e531a7">
        <w:rPr>
          <w:b/>
          <w:sz w:val="28"/>
          <w:szCs w:val="28"/>
          <w:rFonts w:ascii="Times New Roman" w:hAnsi="Times New Roman"/>
        </w:rPr>
        <w:t xml:space="preserve">Статья </w:t>
      </w:r>
      <w:r w:rsidR="00e531a7">
        <w:rPr>
          <w:b/>
          <w:sz w:val="28"/>
          <w:szCs w:val="28"/>
          <w:rFonts w:ascii="Times New Roman" w:hAnsi="Times New Roman"/>
        </w:rPr>
        <w:t xml:space="preserve">7</w:t>
      </w:r>
      <w:r w:rsidR="00e531a7" w:rsidRPr="00e531a7">
        <w:rPr>
          <w:b/>
          <w:sz w:val="28"/>
          <w:szCs w:val="28"/>
          <w:rFonts w:ascii="Times New Roman" w:hAnsi="Times New Roman"/>
        </w:rPr>
        <w:t xml:space="preserve">.</w:t>
      </w:r>
      <w:r w:rsidR="00863d46">
        <w:rPr>
          <w:b/>
          <w:sz w:val="28"/>
          <w:szCs w:val="28"/>
          <w:rFonts w:ascii="Times New Roman" w:hAnsi="Times New Roman"/>
        </w:rPr>
        <w:t xml:space="preserve"> </w:t>
      </w:r>
      <w:r w:rsidR="00e531a7">
        <w:rPr>
          <w:b/>
          <w:sz w:val="28"/>
          <w:szCs w:val="28"/>
          <w:rFonts w:ascii="Times New Roman" w:hAnsi="Times New Roman"/>
        </w:rPr>
        <w:t xml:space="preserve">Заключительные положения </w:t>
      </w:r>
    </w:p>
    <w:p w:rsidP="00b84708">
      <w:pPr>
        <w:pStyle w:val="Normal"/>
        <w:rPr>
          <w:sz w:val="28"/>
          <w:szCs w:val="28"/>
          <w:color w:val="000000"/>
        </w:rPr>
        <w:shd w:color="auto" w:fill="ffffff" w:val="clear"/>
        <w:ind w:firstLine="709" w:right="55"/>
        <w:spacing w:line="300" w:lineRule="atLeast"/>
        <w:jc w:val="both"/>
      </w:pPr>
      <w:r w:rsidR="006411de" w:rsidRPr="004731b4">
        <w:rPr>
          <w:sz w:val="28"/>
          <w:szCs w:val="28"/>
          <w:color w:val="000000"/>
        </w:rPr>
        <w:t xml:space="preserve">Настоящ</w:t>
      </w:r>
      <w:r w:rsidR="006411de">
        <w:rPr>
          <w:sz w:val="28"/>
          <w:szCs w:val="28"/>
          <w:color w:val="000000"/>
        </w:rPr>
        <w:t xml:space="preserve">ее Решение </w:t>
      </w:r>
      <w:r w:rsidR="006411de" w:rsidRPr="004731b4">
        <w:rPr>
          <w:sz w:val="28"/>
          <w:szCs w:val="28"/>
          <w:color w:val="000000"/>
        </w:rPr>
        <w:t xml:space="preserve">вступа</w:t>
      </w:r>
      <w:r w:rsidR="006411de">
        <w:rPr>
          <w:sz w:val="28"/>
          <w:szCs w:val="28"/>
          <w:color w:val="000000"/>
        </w:rPr>
        <w:t xml:space="preserve">е</w:t>
      </w:r>
      <w:r w:rsidR="006411de" w:rsidRPr="004731b4">
        <w:rPr>
          <w:sz w:val="28"/>
          <w:szCs w:val="28"/>
          <w:color w:val="000000"/>
        </w:rPr>
        <w:t xml:space="preserve">т в силу </w:t>
      </w:r>
      <w:r w:rsidR="006411de">
        <w:rPr>
          <w:sz w:val="28"/>
          <w:szCs w:val="28"/>
          <w:color w:val="000000"/>
        </w:rPr>
        <w:t xml:space="preserve">после дня его официального опубл</w:t>
      </w:r>
      <w:r w:rsidR="006411de">
        <w:rPr>
          <w:sz w:val="28"/>
          <w:szCs w:val="28"/>
          <w:color w:val="000000"/>
        </w:rPr>
        <w:t xml:space="preserve">и</w:t>
      </w:r>
      <w:r w:rsidR="006411de">
        <w:rPr>
          <w:sz w:val="28"/>
          <w:szCs w:val="28"/>
          <w:color w:val="000000"/>
        </w:rPr>
        <w:t xml:space="preserve">кования.</w:t>
      </w:r>
      <w:r w:rsidR="00b84708">
        <w:rPr>
          <w:sz w:val="28"/>
          <w:szCs w:val="28"/>
          <w:color w:val="000000"/>
        </w:rPr>
      </w:r>
    </w:p>
    <w:p w:rsidP="00b84708">
      <w:pPr>
        <w:pStyle w:val="Normal"/>
        <w:rPr>
          <w:sz w:val="28"/>
          <w:szCs w:val="28"/>
          <w:color w:val="000000"/>
        </w:rPr>
        <w:shd w:color="auto" w:fill="ffffff" w:val="clear"/>
        <w:ind w:firstLine="709" w:right="55"/>
        <w:spacing w:line="300" w:lineRule="atLeast"/>
        <w:jc w:val="both"/>
      </w:pPr>
      <w:r w:rsidR="00b84708">
        <w:rPr>
          <w:sz w:val="28"/>
          <w:szCs w:val="28"/>
          <w:color w:val="000000"/>
        </w:rPr>
      </w:r>
    </w:p>
    <w:p w:rsidP="00b84708">
      <w:pPr>
        <w:pStyle w:val="Normal"/>
        <w:rPr>
          <w:sz w:val="28"/>
          <w:szCs w:val="28"/>
          <w:color w:val="000000"/>
        </w:rPr>
        <w:shd w:color="auto" w:fill="ffffff" w:val="clear"/>
        <w:ind w:firstLine="709" w:right="55"/>
        <w:spacing w:line="300" w:lineRule="atLeast"/>
        <w:jc w:val="both"/>
      </w:pPr>
      <w:r w:rsidR="00b84708" w:rsidRPr="00b84708">
        <w:rPr>
          <w:sz w:val="28"/>
          <w:szCs w:val="28"/>
          <w:color w:val="000000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5617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</w:pPr>
            <w:r w:rsidR="009a264f" w:rsidRPr="000a5d3e">
              <w:rPr>
                <w:sz w:val="28"/>
                <w:szCs w:val="28"/>
              </w:rPr>
              <w:t xml:space="preserve">Глава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9a264f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9a264f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561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a264f">
            <w:pPr>
              <w:pStyle w:val="Normal"/>
              <w:rPr>
                <w:sz w:val="28"/>
                <w:szCs w:val="28"/>
              </w:rPr>
              <w:jc w:val="right"/>
            </w:pPr>
            <w:r w:rsidR="009a264f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9a264f" w:rsidRPr="000a5d3e">
              <w:rPr>
                <w:sz w:val="28"/>
                <w:szCs w:val="28"/>
              </w:rPr>
            </w:r>
          </w:p>
          <w:p w:rsidP="009a264f">
            <w:pPr>
              <w:pStyle w:val="Normal"/>
              <w:rPr>
                <w:sz w:val="28"/>
                <w:szCs w:val="28"/>
              </w:rPr>
              <w:jc w:val="right"/>
            </w:pPr>
            <w:r w:rsidR="009a264f">
              <w:rPr>
                <w:sz w:val="28"/>
                <w:szCs w:val="28"/>
              </w:rPr>
              <w:t xml:space="preserve">В.А. Семчев</w:t>
            </w:r>
            <w:r w:rsidR="009a264f" w:rsidRPr="000a5d3e">
              <w:rPr>
                <w:sz w:val="28"/>
                <w:szCs w:val="28"/>
              </w:rPr>
            </w:r>
          </w:p>
        </w:tc>
      </w:tr>
    </w:tbl>
    <w:p w:rsidP="00ea15ca">
      <w:pPr>
        <w:pStyle w:val="Normal"/>
        <w:jc w:val="right"/>
      </w:pPr>
      <w:r w:rsidR="008e7509" w:rsidRPr="002a7395"/>
    </w:p>
    <w:sectPr>
      <w:type w:val="nextPage"/>
      <w:pgSz w:h="16838" w:w="11906"/>
      <w:pgMar w:bottom="709" w:footer="708" w:gutter="0" w:header="708" w:left="1418" w:right="849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7c"/>
    <w:multiLevelType w:val="singleLevel"/>
    <w:tmpl w:val="d57c978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92" w:val="num"/>
        </w:tabs>
        <w:ind w:hanging="360" w:left="1492"/>
      </w:pPr>
    </w:lvl>
  </w:abstractNum>
  <w:abstractNum w:abstractNumId="1">
    <w:nsid w:val="ffffff7d"/>
    <w:multiLevelType w:val="singleLevel"/>
    <w:tmpl w:val="6636804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09" w:val="num"/>
        </w:tabs>
        <w:ind w:hanging="360" w:left="1209"/>
      </w:pPr>
    </w:lvl>
  </w:abstractNum>
  <w:abstractNum w:abstractNumId="2">
    <w:nsid w:val="ffffff7e"/>
    <w:multiLevelType w:val="singleLevel"/>
    <w:tmpl w:val="f47e233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6" w:val="num"/>
        </w:tabs>
        <w:ind w:hanging="360" w:left="926"/>
      </w:pPr>
    </w:lvl>
  </w:abstractNum>
  <w:abstractNum w:abstractNumId="3">
    <w:nsid w:val="ffffff7f"/>
    <w:multiLevelType w:val="singleLevel"/>
    <w:tmpl w:val="e63c48b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643" w:val="num"/>
        </w:tabs>
        <w:ind w:hanging="360" w:left="643"/>
      </w:pPr>
    </w:lvl>
  </w:abstractNum>
  <w:abstractNum w:abstractNumId="4">
    <w:nsid w:val="ffffff80"/>
    <w:multiLevelType w:val="singleLevel"/>
    <w:tmpl w:val="724c2f4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5">
    <w:nsid w:val="ffffff81"/>
    <w:multiLevelType w:val="singleLevel"/>
    <w:tmpl w:val="3724c32a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6">
    <w:nsid w:val="ffffff82"/>
    <w:multiLevelType w:val="singleLevel"/>
    <w:tmpl w:val="8e5031c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7">
    <w:nsid w:val="ffffff83"/>
    <w:multiLevelType w:val="singleLevel"/>
    <w:tmpl w:val="6e3ea61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8">
    <w:nsid w:val="ffffff88"/>
    <w:multiLevelType w:val="singleLevel"/>
    <w:tmpl w:val="299473a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9">
    <w:nsid w:val="ffffff89"/>
    <w:multiLevelType w:val="singleLevel"/>
    <w:tmpl w:val="1d500b70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1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2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cd4"/>
    <w:rsid w:val="00073cfd"/>
    <w:rsid w:val="000a5d3e"/>
    <w:rsid w:val="00117ddc"/>
    <w:rsid w:val="001d55e9"/>
    <w:rsid w:val="002022fd"/>
    <w:rsid w:val="002a7395"/>
    <w:rsid w:val="002c3370"/>
    <w:rsid w:val="002e4042"/>
    <w:rsid w:val="002e4969"/>
    <w:rsid w:val="004731b4"/>
    <w:rsid w:val="004a1b84"/>
    <w:rsid w:val="004b0699"/>
    <w:rsid w:val="004b42ed"/>
    <w:rsid w:val="005a123d"/>
    <w:rsid w:val="005a24b6"/>
    <w:rsid w:val="005e093f"/>
    <w:rsid w:val="00621ecd"/>
    <w:rsid w:val="006411de"/>
    <w:rsid w:val="006f18e7"/>
    <w:rsid w:val="00715d98"/>
    <w:rsid w:val="00760151"/>
    <w:rsid w:val="0078532f"/>
    <w:rsid w:val="007a385b"/>
    <w:rsid w:val="007b2b58"/>
    <w:rsid w:val="007c0ae7"/>
    <w:rsid w:val="007e6fcb"/>
    <w:rsid w:val="00804e8f"/>
    <w:rsid w:val="00823ac3"/>
    <w:rsid w:val="00834fd9"/>
    <w:rsid w:val="00863d46"/>
    <w:rsid w:val="00887cd8"/>
    <w:rsid w:val="008b6e1c"/>
    <w:rsid w:val="008e7509"/>
    <w:rsid w:val="009801e0"/>
    <w:rsid w:val="009a264f"/>
    <w:rsid w:val="00a053f4"/>
    <w:rsid w:val="00a276c0"/>
    <w:rsid w:val="00af197c"/>
    <w:rsid w:val="00b84708"/>
    <w:rsid w:val="00bd78e2"/>
    <w:rsid w:val="00be3fa8"/>
    <w:rsid w:val="00c35532"/>
    <w:rsid w:val="00c80bac"/>
    <w:rsid w:val="00c84fe7"/>
    <w:rsid w:val="00cb1944"/>
    <w:rsid w:val="00d868d3"/>
    <w:rsid w:val="00e0351c"/>
    <w:rsid w:val="00e11f6b"/>
    <w:rsid w:val="00e531a7"/>
    <w:rsid w:val="00e86436"/>
    <w:rsid w:val="00ea15ca"/>
    <w:rsid w:val="00ec3301"/>
    <w:rsid w:val="00ed0f09"/>
    <w:rsid w:val="00f72c58"/>
    <w:rsid w:val="00f8308d"/>
    <w:rsid w:val="00fa1b15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21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33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2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34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19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21">
    <w:name w:val="StGen21"/>
    <w:next w:val="StGen21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33">
    <w:name w:val="StGen33"/>
    <w:next w:val="StGen33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2">
    <w:name w:val="StGen22"/>
    <w:next w:val="StGen2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4">
    <w:name w:val="StGen34"/>
    <w:next w:val="StGen34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19">
    <w:name w:val="StGen19"/>
    <w:next w:val="StGen19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17"/>
    <w:pPr>
      <w:jc w:val="both"/>
    </w:pPr>
    <w:rPr>
      <w:sz w:val="24"/>
    </w:rPr>
  </w:style>
  <w:style w:type="character" w:styleId="StGen17">
    <w:name w:val="StGen17"/>
    <w:next w:val="StGen17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28"/>
    <w:pPr>
      <w:jc w:val="center"/>
    </w:pPr>
    <w:rPr>
      <w:sz w:val="28"/>
    </w:rPr>
  </w:style>
  <w:style w:type="character" w:styleId="StGen28">
    <w:name w:val="StGen28"/>
    <w:next w:val="StGen28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24"/>
    <w:semiHidden/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35">
    <w:name w:val="StGen35"/>
    <w:next w:val="StGen35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26"/>
    <w:pPr>
      <w:ind w:left="283"/>
      <w:spacing w:after="120" w:line="480" w:lineRule="auto"/>
    </w:pPr>
    <w:rPr>
      <w:sz w:val="24"/>
      <w:szCs w:val="24"/>
    </w:rPr>
  </w:style>
  <w:style w:type="character" w:styleId="StGen26">
    <w:name w:val="StGen26"/>
    <w:next w:val="StGen26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Header">
    <w:name w:val="Header"/>
    <w:basedOn w:val="Normal"/>
    <w:next w:val="Header"/>
    <w:link w:val="Normal"/>
    <w:pPr>
      <w:tabs>
        <w:tab w:leader="none" w:pos="4677" w:val="center"/>
        <w:tab w:leader="none" w:pos="9355" w:val="right"/>
      </w:tabs>
    </w:p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StGen1">
    <w:name w:val="StGen1"/>
    <w:next w:val="StGen1"/>
    <w:link w:val="Normal"/>
    <w:pPr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BodyTextIndent">
    <w:name w:val="BodyTextIndent"/>
    <w:basedOn w:val="Normal"/>
    <w:next w:val="BodyTextIndent"/>
    <w:link w:val="StGen25"/>
    <w:pPr>
      <w:ind w:left="283"/>
      <w:spacing w:after="120"/>
    </w:pPr>
  </w:style>
  <w:style w:type="character" w:styleId="StGen25">
    <w:name w:val="StGen25"/>
    <w:next w:val="StGen25"/>
    <w:link w:val="BodyTextIndent"/>
    <w:rPr>
      <w:rFonts w:ascii="Times New Roman" w:eastAsia="Times New Roman" w:hAnsi="Times New Roman"/>
    </w:rPr>
  </w:style>
  <w:style w:type="character" w:styleId="StGen30">
    <w:name w:val="StGen30"/>
    <w:next w:val="StGen30"/>
    <w:link w:val="Normal"/>
    <w:rPr>
      <w:sz w:val="22"/>
      <w:szCs w:val="22"/>
      <w:rFonts w:ascii="Times New Roman" w:hAnsi="Times New Roman"/>
    </w:rPr>
  </w:style>
  <w:style w:type="character" w:styleId="StGen31">
    <w:name w:val="StGen31"/>
    <w:next w:val="StGen31"/>
    <w:link w:val="Normal"/>
    <w:rPr>
      <w:sz w:val="22"/>
      <w:szCs w:val="22"/>
      <w:rFonts w:ascii="Times New Roman" w:hAnsi="Times New Roman"/>
    </w:rPr>
  </w:style>
  <w:style w:type="paragraph" w:styleId="StGen39">
    <w:name w:val="StGen39"/>
    <w:basedOn w:val="Normal"/>
    <w:next w:val="StGen39"/>
    <w:link w:val="Normal"/>
    <w:pPr>
      <w:widowControl w:val="off"/>
      <w:autoSpaceDE w:val="off"/>
      <w:autoSpaceDN w:val="off"/>
    </w:pPr>
    <w:rPr>
      <w:sz w:val="24"/>
      <w:szCs w:val="24"/>
    </w:rPr>
  </w:style>
  <w:style w:type="paragraph" w:styleId="StGen40">
    <w:name w:val="StGen40"/>
    <w:basedOn w:val="Normal"/>
    <w:next w:val="StGen40"/>
    <w:link w:val="Normal"/>
    <w:pPr>
      <w:widowControl w:val="off"/>
      <w:autoSpaceDE w:val="off"/>
      <w:autoSpaceDN w:val="off"/>
      <w:spacing w:line="278" w:lineRule="exact"/>
    </w:pPr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