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BA36DA" w:rsidRDefault="00BA36DA" w:rsidP="00BA36DA">
            <w:pPr>
              <w:tabs>
                <w:tab w:val="left" w:pos="4800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BA36DA">
              <w:rPr>
                <w:rFonts w:ascii="Bookman Old Style" w:hAnsi="Bookman Old Style"/>
                <w:sz w:val="16"/>
                <w:szCs w:val="16"/>
              </w:rPr>
              <w:tab/>
            </w:r>
            <w:r w:rsidRPr="00BA36DA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BA36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BA36DA" w:rsidRDefault="00EF1D9C" w:rsidP="00BA36D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87B1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687B1C">
              <w:rPr>
                <w:sz w:val="24"/>
                <w:szCs w:val="28"/>
              </w:rPr>
              <w:t>259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F67AAA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67AAA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977B71">
        <w:trPr>
          <w:trHeight w:val="339"/>
        </w:trPr>
        <w:tc>
          <w:tcPr>
            <w:tcW w:w="4395" w:type="dxa"/>
            <w:hideMark/>
          </w:tcPr>
          <w:p w:rsidR="009775B3" w:rsidRPr="0059265F" w:rsidRDefault="00977B71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>
              <w:rPr>
                <w:szCs w:val="28"/>
              </w:rPr>
              <w:t>Мечетина</w:t>
            </w:r>
            <w:proofErr w:type="spellEnd"/>
            <w:r>
              <w:rPr>
                <w:szCs w:val="28"/>
              </w:rPr>
              <w:t xml:space="preserve"> Сергея Ивановича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977B71" w:rsidRDefault="00977B71" w:rsidP="00977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 w:rsidRPr="00E635A0">
        <w:rPr>
          <w:szCs w:val="28"/>
        </w:rPr>
        <w:t xml:space="preserve"> </w:t>
      </w:r>
      <w:r>
        <w:rPr>
          <w:szCs w:val="28"/>
        </w:rPr>
        <w:t xml:space="preserve">и в связи с 60-летним юбилеем </w:t>
      </w:r>
      <w:proofErr w:type="spellStart"/>
      <w:r>
        <w:rPr>
          <w:szCs w:val="28"/>
        </w:rPr>
        <w:t>Мечетина</w:t>
      </w:r>
      <w:proofErr w:type="spellEnd"/>
      <w:r>
        <w:rPr>
          <w:szCs w:val="28"/>
        </w:rPr>
        <w:t xml:space="preserve"> Сергея Ивановича – советника отдела по работе с депутатским фракциями, органами местного самоуправления и общественными организациями Управления по информационно-аналитическому, документационному обеспечению деятельности Законодательного Собрания Камчатского края и депутатских фракций.</w:t>
      </w:r>
    </w:p>
    <w:p w:rsidR="00977B71" w:rsidRPr="004B615F" w:rsidRDefault="00977B71" w:rsidP="00977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BA36DA">
        <w:rPr>
          <w:szCs w:val="28"/>
        </w:rPr>
        <w:t>Петропавловск-Камчатского городского округа</w:t>
      </w:r>
      <w:r w:rsidR="00BA36DA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90444"/>
    <w:rsid w:val="003467AC"/>
    <w:rsid w:val="00377178"/>
    <w:rsid w:val="004B105C"/>
    <w:rsid w:val="0059265F"/>
    <w:rsid w:val="00687B1C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977B71"/>
    <w:rsid w:val="00BA36DA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67AAA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12</cp:revision>
  <cp:lastPrinted>2018-09-05T21:15:00Z</cp:lastPrinted>
  <dcterms:created xsi:type="dcterms:W3CDTF">2018-08-20T02:20:00Z</dcterms:created>
  <dcterms:modified xsi:type="dcterms:W3CDTF">2018-09-17T22:57:00Z</dcterms:modified>
</cp:coreProperties>
</file>