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59"/>
        <w:tblLook w:val="04a0"/>
        <w:tblW w:type="dxa" w:w="10359"/>
        <w:tblpPr w:horzAnchor="margin" w:leftFromText="180" w:rightFromText="180" w:tblpY="-32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530"/>
        <w:gridCol w:w="222"/>
      </w:tblGrid>
      <w:tr>
        <w:trPr>
          <w:trHeight w:hRule="atLeast" w:val="430"/>
          <w:wAfter w:type="dxa" w:w="0"/>
          <w:trHeight w:hRule="atLeast" w:val="430"/>
          <w:wAfter w:type="dxa" w:w="0"/>
        </w:trPr>
        <w:tc>
          <w:tcPr>
            <w:textDirection w:val="lrTb"/>
            <w:vAlign w:val="top"/>
            <w:tcW w:type="dxa" w:w="551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tbl>
            <w:tblPr>
              <w:tblW w:type="dxa" w:w="10314"/>
              <w:tblLook w:val="01e0"/>
              <w:tblW w:type="dxa" w:w="10314"/>
              <w:tblpPr w:horzAnchor="margin" w:leftFromText="180" w:rightFromText="180" w:tblpY="361" w:vertAnchor="page"/>
              <w:tblLayout w:type="auto"/>
              <w:tblCellMar>
                <w:top w:type="dxa" w:w="0"/>
                <w:bottom w:type="dxa" w:w="0"/>
                <w:left w:type="dxa" w:w="108"/>
                <w:right w:type="dxa" w:w="108"/>
              </w:tblCellMar>
            </w:tblPr>
            <w:tblGrid>
              <w:gridCol w:w="10314"/>
            </w:tblGrid>
            <w:tr>
              <w:trPr>
                <w:wAfter w:type="dxa" w:w="0"/>
                <w:wAfter w:type="dxa" w:w="0"/>
              </w:trPr>
              <w:tc>
                <w:tcPr>
                  <w:textDirection w:val="lrTb"/>
                  <w:vAlign w:val="top"/>
                  <w:tcW w:type="dxa" w:w="10314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33434a">
                  <w:pPr>
                    <w:pStyle w:val="Normal"/>
                    <w:rPr>
                      <w:sz w:val="28"/>
                      <w:lang w:val="en-US"/>
                    </w:rPr>
                    <w:framePr w:hAnchor="margin" w:hSpace="180" w:vAnchor="text" w:wrap="around" w:y="-325"/>
                    <w:jc w:val="center"/>
                  </w:pPr>
                  <w:r w:rsidR="0033434a" w:rsidRPr="00266761">
                    <w:rPr>
                      <w:sz w:val="28"/>
                      <w:noProof/>
                    </w:rPr>
                    <w:pict>
                      <v:shapetype id="_x0000_t75" coordsize="21600,21600" o:spt="75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/>
                        <o:lock aspectratio="t" v:ext="edit"/>
                      </v:shapetype>
                      <v:shape type="#_x0000_t75" style="width:78.47999999999999pt;height:77.969999999999999pt;" id="{6DA34427-E81F-4779-AC1A-244DC0B07642}">
                        <v:imagedata o:title="" r:id="rId3"/>
                        <w10:bordertop type="none" width="0"/>
                        <w10:borderleft type="none" width="0"/>
                        <w10:borderbottom type="none" width="0"/>
                        <w10:borderright type="none" width="0"/>
                      </v:shape>
                    </w:pict>
                  </w:r>
                  <w:r w:rsidR="0033434a" w:rsidRPr="00266761">
                    <w:rPr>
                      <w:sz w:val="28"/>
                      <w:lang w:val="en-US"/>
                    </w:rPr>
                  </w:r>
                </w:p>
              </w:tc>
            </w:tr>
            <w:tr>
              <w:trPr>
                <w:wAfter w:type="dxa" w:w="0"/>
                <w:wAfter w:type="dxa" w:w="0"/>
              </w:trPr>
              <w:tc>
                <w:tcPr>
                  <w:textDirection w:val="lrTb"/>
                  <w:vAlign w:val="top"/>
                  <w:tcW w:type="dxa" w:w="10314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33434a">
                  <w:pPr>
                    <w:pStyle w:val="Normal"/>
                    <w:rPr>
                      <w:sz w:val="30"/>
                      <w:szCs w:val="30"/>
                      <w:rFonts w:ascii="Bookman Old Style" w:hAnsi="Bookman Old Style"/>
                    </w:rPr>
                    <w:framePr w:hAnchor="margin" w:hSpace="180" w:vAnchor="text" w:wrap="around" w:y="-325"/>
                    <w:jc w:val="center"/>
                  </w:pPr>
                  <w:r w:rsidR="0033434a" w:rsidRPr="00266761">
                    <w:rPr>
                      <w:sz w:val="30"/>
                      <w:szCs w:val="30"/>
                      <w:rFonts w:ascii="Bookman Old Style" w:hAnsi="Bookman Old Style"/>
                    </w:rPr>
                    <w:t xml:space="preserve">ГОРОДСКАЯ ДУМА</w:t>
                  </w:r>
                </w:p>
              </w:tc>
            </w:tr>
            <w:tr>
              <w:trPr>
                <w:wAfter w:type="dxa" w:w="0"/>
                <w:wAfter w:type="dxa" w:w="0"/>
              </w:trPr>
              <w:tc>
                <w:tcPr>
                  <w:textDirection w:val="lrTb"/>
                  <w:vAlign w:val="top"/>
                  <w:tcW w:type="dxa" w:w="10314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33434a">
                  <w:pPr>
                    <w:pStyle w:val="Normal"/>
                    <w:rPr>
                      <w:sz w:val="30"/>
                      <w:szCs w:val="30"/>
                      <w:rFonts w:ascii="Bookman Old Style" w:hAnsi="Bookman Old Style"/>
                    </w:rPr>
                    <w:framePr w:hAnchor="margin" w:hSpace="180" w:vAnchor="text" w:wrap="around" w:y="-325"/>
                    <w:jc w:val="center"/>
                  </w:pPr>
                  <w:r w:rsidR="0033434a" w:rsidRPr="00266761">
                    <w:rPr>
                      <w:sz w:val="30"/>
                      <w:szCs w:val="30"/>
                      <w:rFonts w:ascii="Bookman Old Style" w:hAnsi="Bookman Old Style"/>
                    </w:rPr>
                    <w:t xml:space="preserve">ПЕТРОПАВЛОВСК-КАМЧАТСКОГО ГОРОДСКОГО ОКРУГА</w:t>
                  </w:r>
                </w:p>
              </w:tc>
            </w:tr>
            <w:tr>
              <w:trPr>
                <w:wAfter w:type="dxa" w:w="0"/>
                <w:wAfter w:type="dxa" w:w="0"/>
              </w:trPr>
              <w:tc>
                <w:tcPr>
                  <w:textDirection w:val="lrTb"/>
                  <w:vAlign w:val="top"/>
                  <w:tcW w:type="dxa" w:w="10314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33434a">
                  <w:pPr>
                    <w:pStyle w:val="Normal"/>
                    <w:rPr>
                      <w:sz w:val="30"/>
                      <w:szCs w:val="30"/>
                      <w:rFonts w:ascii="Bookman Old Style" w:hAnsi="Bookman Old Style"/>
                    </w:rPr>
                    <w:framePr w:hAnchor="margin" w:hSpace="180" w:vAnchor="text" w:wrap="around" w:y="-325"/>
                    <w:jc w:val="center"/>
                  </w:pPr>
                  <w:r w:rsidR="0033434a" w:rsidRPr="00266761">
                    <w:rPr>
                      <w:sz w:val="28"/>
                      <w:noProof/>
                    </w:rPr>
                    <w:pict>
                      <v:line id="_x0000_s1079" type="#_x0000_t20" style="position:absolute;mso-position-vertical-relative:page;" from="-1.95pt,9.3000000000000007pt" to="506.55000000000001pt,9.3000000000000007pt" strokeweight="63500">
                        <v:stroke linestyle="thickThin"/>
                      </v:line>
                    </w:pict>
                  </w:r>
                  <w:r w:rsidR="0033434a" w:rsidRPr="00266761">
                    <w:rPr>
                      <w:sz w:val="30"/>
                      <w:szCs w:val="30"/>
                      <w:rFonts w:ascii="Bookman Old Style" w:hAnsi="Bookman Old Style"/>
                    </w:rPr>
                  </w:r>
                </w:p>
              </w:tc>
            </w:tr>
          </w:tbl>
          <w:p w:rsidP="00be4305">
            <w:pPr>
              <w:pStyle w:val="Normal"/>
              <w:rPr>
                <w:i/>
                <w:sz w:val="20"/>
                <w:szCs w:val="20"/>
              </w:rPr>
              <w:framePr w:hAnchor="margin" w:hSpace="180" w:vAnchor="text" w:wrap="around" w:y="-325"/>
              <w:jc w:val="center"/>
            </w:pPr>
            <w:r w:rsidR="00be4305" w:rsidRPr="00266761">
              <w:rPr>
                <w:i/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84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e4305">
            <w:pPr>
              <w:pStyle w:val="Normal"/>
              <w:rPr>
                <w:i/>
                <w:sz w:val="20"/>
                <w:szCs w:val="20"/>
              </w:rPr>
              <w:framePr w:hAnchor="margin" w:hSpace="180" w:vAnchor="text" w:wrap="around" w:y="-325"/>
            </w:pPr>
            <w:r w:rsidR="00be4305">
              <w:rPr>
                <w:i/>
                <w:sz w:val="20"/>
                <w:szCs w:val="20"/>
              </w:rPr>
            </w:r>
          </w:p>
          <w:p w:rsidP="0033434a">
            <w:pPr>
              <w:pStyle w:val="Normal"/>
              <w:rPr>
                <w:i/>
                <w:sz w:val="20"/>
                <w:szCs w:val="20"/>
              </w:rPr>
              <w:framePr w:hAnchor="margin" w:hSpace="180" w:vAnchor="text" w:wrap="around" w:y="-325"/>
              <w:jc w:val="both"/>
            </w:pPr>
            <w:r w:rsidR="00be4305" w:rsidRPr="00266761">
              <w:rPr>
                <w:i/>
                <w:sz w:val="20"/>
                <w:szCs w:val="20"/>
              </w:rPr>
            </w:r>
          </w:p>
        </w:tc>
      </w:tr>
    </w:tbl>
    <w:p w:rsidP="00e31018">
      <w:pPr>
        <w:pStyle w:val="Normal"/>
        <w:jc w:val="right"/>
      </w:pPr>
      <w:r w:rsidR="00e628fc"/>
    </w:p>
    <w:p w:rsidP="00266761">
      <w:pPr>
        <w:pStyle w:val="Normal"/>
        <w:rPr>
          <w:b/>
          <w:sz w:val="36"/>
          <w:szCs w:val="36"/>
        </w:rPr>
        <w:jc w:val="center"/>
      </w:pPr>
      <w:r w:rsidR="00266761" w:rsidRPr="00266761">
        <w:rPr>
          <w:b/>
          <w:sz w:val="36"/>
          <w:szCs w:val="36"/>
        </w:rPr>
        <w:t xml:space="preserve">РЕШЕНИЕ</w:t>
      </w:r>
    </w:p>
    <w:p w:rsidP="00266761">
      <w:pPr>
        <w:pStyle w:val="Normal"/>
        <w:rPr>
          <w:sz w:val="28"/>
          <w:szCs w:val="28"/>
        </w:rPr>
      </w:pPr>
      <w:r w:rsidR="00266761" w:rsidRPr="007e13a5">
        <w:rPr>
          <w:sz w:val="28"/>
          <w:szCs w:val="28"/>
        </w:rPr>
      </w:r>
    </w:p>
    <w:tbl>
      <w:tblPr>
        <w:tblW w:type="auto" w:w="0"/>
        <w:tblLook w:val="01e0"/>
        <w:tblW w:type="auto" w:w="0"/>
        <w:tblpPr w:horzAnchor="text" w:leftFromText="180" w:rightFromText="180" w:tblpX="108" w:tblpY="-3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61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61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6a6d56">
            <w:pPr>
              <w:pStyle w:val="Normal"/>
              <w:framePr w:hAnchor="text" w:hSpace="180" w:vAnchor="text" w:wrap="around" w:x="108" w:y="-39"/>
              <w:jc w:val="center"/>
            </w:pPr>
            <w:r w:rsidR="00266761" w:rsidRPr="00266761">
              <w:t xml:space="preserve">от </w:t>
            </w:r>
            <w:r w:rsidR="001b604b">
              <w:t xml:space="preserve">27.05.2015</w:t>
            </w:r>
            <w:r w:rsidR="00266761" w:rsidRPr="00266761">
              <w:t xml:space="preserve"> №</w:t>
            </w:r>
            <w:r w:rsidR="001b604b">
              <w:t xml:space="preserve"> 74</w:t>
            </w:r>
            <w:r w:rsidR="004508f3">
              <w:t xml:space="preserve">3</w:t>
            </w:r>
            <w:r w:rsidR="001b604b">
              <w:t xml:space="preserve">-</w:t>
            </w:r>
            <w:r w:rsidR="00266761" w:rsidRPr="00266761">
              <w:t xml:space="preserve">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f73af4">
            <w:pPr>
              <w:pStyle w:val="Normal"/>
              <w:framePr w:hAnchor="text" w:hSpace="180" w:vAnchor="text" w:wrap="around" w:x="108" w:y="-39"/>
              <w:jc w:val="center"/>
            </w:pPr>
            <w:r w:rsidR="001b604b">
              <w:t xml:space="preserve">33-я (внеочередная) </w:t>
            </w:r>
            <w:r w:rsidR="00266761" w:rsidRPr="00266761">
              <w:t xml:space="preserve">сессия 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val="nil"/>
              <w:right w:val="nil"/>
            </w:tcBorders>
          </w:tcPr>
          <w:p w:rsidP="00266761">
            <w:pPr>
              <w:pStyle w:val="Normal"/>
              <w:rPr>
                <w:sz w:val="22"/>
              </w:rPr>
              <w:framePr w:hAnchor="text" w:hSpace="180" w:vAnchor="text" w:wrap="around" w:x="108" w:y="-39"/>
              <w:jc w:val="center"/>
            </w:pPr>
            <w:r w:rsidR="00266761" w:rsidRPr="00266761">
              <w:rPr>
                <w:sz w:val="22"/>
                <w:szCs w:val="22"/>
              </w:rPr>
              <w:t xml:space="preserve">г.Петропавловск-Камчатский</w:t>
            </w:r>
            <w:r w:rsidR="00266761" w:rsidRPr="00266761">
              <w:rPr>
                <w:sz w:val="22"/>
              </w:rPr>
            </w:r>
          </w:p>
        </w:tc>
      </w:tr>
    </w:tbl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tbl>
      <w:tblPr>
        <w:tblW w:type="auto" w:w="0"/>
        <w:tblLook w:val="01e0"/>
        <w:tblW w:type="auto" w:w="0"/>
        <w:tblOverlap w:val="never"/>
        <w:tblpPr w:horzAnchor="margin" w:leftFromText="180" w:rightFromText="180" w:tblpX="40" w:tblpY="-333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46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474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3092e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x="40" w:y="-333"/>
              <w:jc w:val="both"/>
            </w:pPr>
            <w:r w:rsidR="00266761" w:rsidRPr="00266761">
              <w:rPr>
                <w:sz w:val="28"/>
                <w:szCs w:val="28"/>
              </w:rPr>
              <w:t xml:space="preserve">О принятии решения о внесении изменений в Устав Петропавловск-Камчатского городского округа</w:t>
            </w:r>
          </w:p>
        </w:tc>
      </w:tr>
    </w:tbl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  <w:szCs w:val="28"/>
        </w:rPr>
        <w:ind w:firstLine="709"/>
        <w:jc w:val="both"/>
      </w:pPr>
      <w:r w:rsidR="00266761" w:rsidRPr="00266761">
        <w:rPr>
          <w:sz w:val="28"/>
          <w:szCs w:val="28"/>
        </w:rPr>
      </w:r>
    </w:p>
    <w:p w:rsidP="00266761">
      <w:pPr>
        <w:pStyle w:val="Normal"/>
        <w:rPr>
          <w:sz w:val="28"/>
          <w:szCs w:val="28"/>
        </w:rPr>
        <w:ind w:firstLine="709"/>
        <w:jc w:val="both"/>
      </w:pPr>
      <w:r w:rsidR="00266761" w:rsidRPr="00266761">
        <w:rPr>
          <w:sz w:val="28"/>
          <w:szCs w:val="28"/>
        </w:rPr>
      </w:r>
    </w:p>
    <w:p w:rsidP="0026410f">
      <w:pPr>
        <w:pStyle w:val="Normal"/>
        <w:rPr>
          <w:sz w:val="28"/>
        </w:rPr>
        <w:ind w:firstLine="709"/>
        <w:jc w:val="both"/>
      </w:pPr>
      <w:r w:rsidR="0026410f" w:rsidRPr="00266761">
        <w:rPr>
          <w:sz w:val="28"/>
        </w:rPr>
        <w:t xml:space="preserve">Рассмотрев проект решения о внесении изменений в Устав Петропавловск-Камчатского городского округа, внесенный Главой Петропавловск-Камчатского городского округа Слыщенко К.Г., </w:t>
      </w:r>
      <w:r w:rsidR="00284384">
        <w:rPr>
          <w:sz w:val="28"/>
        </w:rPr>
        <w:t xml:space="preserve">в соответствии с</w:t>
      </w:r>
      <w:r w:rsidR="0026410f">
        <w:rPr>
          <w:sz w:val="28"/>
        </w:rPr>
        <w:t xml:space="preserve"> Федеральным законом</w:t>
      </w:r>
      <w:r w:rsidR="00284384">
        <w:rPr>
          <w:sz w:val="28"/>
        </w:rPr>
        <w:br w:clear="all" w:type="textWrapping"/>
      </w:r>
      <w:r w:rsidR="0026410f" w:rsidRPr="00266761">
        <w:rPr>
          <w:sz w:val="28"/>
        </w:rPr>
        <w:t xml:space="preserve">от 06.10.2003 № 131-ФЗ «Об общих принципах организации местного самоуправления в Российской Федерации», принимая во внимание рекомендации публичных слушаний от </w:t>
      </w:r>
      <w:r w:rsidR="004508f3">
        <w:rPr>
          <w:sz w:val="28"/>
        </w:rPr>
        <w:t xml:space="preserve">14</w:t>
      </w:r>
      <w:r w:rsidR="0026410f">
        <w:rPr>
          <w:sz w:val="28"/>
        </w:rPr>
        <w:t xml:space="preserve">.0</w:t>
      </w:r>
      <w:r w:rsidR="004508f3">
        <w:rPr>
          <w:sz w:val="28"/>
        </w:rPr>
        <w:t xml:space="preserve">5</w:t>
      </w:r>
      <w:r w:rsidR="0026410f">
        <w:rPr>
          <w:sz w:val="28"/>
        </w:rPr>
        <w:t xml:space="preserve">.</w:t>
      </w:r>
      <w:r w:rsidR="0026410f" w:rsidRPr="00266761">
        <w:rPr>
          <w:sz w:val="28"/>
        </w:rPr>
        <w:t xml:space="preserve">201</w:t>
      </w:r>
      <w:r w:rsidR="0026410f">
        <w:rPr>
          <w:sz w:val="28"/>
        </w:rPr>
        <w:t xml:space="preserve">5</w:t>
      </w:r>
      <w:r w:rsidR="0026410f" w:rsidRPr="00266761">
        <w:rPr>
          <w:sz w:val="28"/>
        </w:rPr>
        <w:t xml:space="preserve"> по вопросу «О внесении изменений в Устав Петропавловск-Камчатского городского округа», Городская Дума Петропавловс</w:t>
      </w:r>
      <w:r w:rsidR="0026410f">
        <w:rPr>
          <w:sz w:val="28"/>
        </w:rPr>
        <w:t xml:space="preserve">к-Камчатского городского округа</w:t>
      </w:r>
      <w:r w:rsidR="0026410f" w:rsidRPr="00266761">
        <w:rPr>
          <w:sz w:val="28"/>
        </w:rPr>
      </w:r>
    </w:p>
    <w:p w:rsidP="00266761">
      <w:pPr>
        <w:pStyle w:val="Normal"/>
        <w:rPr>
          <w:sz w:val="28"/>
          <w:szCs w:val="28"/>
          <w:lang w:eastAsia="en-US"/>
        </w:rPr>
      </w:pPr>
      <w:r w:rsidR="00266761" w:rsidRPr="007e13a5">
        <w:rPr>
          <w:sz w:val="28"/>
          <w:szCs w:val="28"/>
          <w:lang w:eastAsia="en-US"/>
        </w:rPr>
      </w:r>
    </w:p>
    <w:p w:rsidP="00266761">
      <w:pPr>
        <w:pStyle w:val="Normal"/>
        <w:rPr>
          <w:b/>
          <w:sz w:val="28"/>
          <w:szCs w:val="28"/>
        </w:rPr>
        <w:suppressAutoHyphens/>
      </w:pPr>
      <w:r w:rsidR="00266761" w:rsidRPr="00266761">
        <w:rPr>
          <w:b/>
          <w:sz w:val="28"/>
          <w:szCs w:val="28"/>
        </w:rPr>
        <w:t xml:space="preserve">РЕШИЛА:</w:t>
      </w:r>
    </w:p>
    <w:p w:rsidP="00266761">
      <w:pPr>
        <w:pStyle w:val="Normal"/>
        <w:rPr>
          <w:b/>
          <w:sz w:val="28"/>
          <w:szCs w:val="28"/>
        </w:rPr>
        <w:suppressAutoHyphens/>
      </w:pPr>
      <w:r w:rsidR="00266761" w:rsidRPr="00266761">
        <w:rPr>
          <w:b/>
          <w:sz w:val="28"/>
          <w:szCs w:val="28"/>
        </w:rPr>
      </w:r>
    </w:p>
    <w:p w:rsidP="005b3bcc">
      <w:pPr>
        <w:pStyle w:val="Normal"/>
        <w:rPr>
          <w:sz w:val="28"/>
          <w:szCs w:val="28"/>
        </w:rPr>
        <w:tabs>
          <w:tab w:leader="none" w:pos="540" w:val="left"/>
          <w:tab w:leader="none" w:pos="900" w:val="left"/>
          <w:tab w:leader="none" w:pos="1134" w:val="left"/>
        </w:tabs>
        <w:suppressAutoHyphens/>
        <w:ind w:firstLine="709"/>
        <w:jc w:val="both"/>
      </w:pPr>
      <w:r w:rsidR="00266761" w:rsidRPr="00266761">
        <w:rPr>
          <w:sz w:val="28"/>
          <w:szCs w:val="28"/>
        </w:rPr>
        <w:t xml:space="preserve">1. Принять Решение о внесении изменений в Устав Петропавловск-Камчатского городского округа.</w:t>
      </w:r>
    </w:p>
    <w:p w:rsidP="005b3bcc">
      <w:pPr>
        <w:pStyle w:val="Normal"/>
        <w:rPr>
          <w:sz w:val="28"/>
          <w:szCs w:val="28"/>
        </w:rPr>
        <w:tabs>
          <w:tab w:leader="none" w:pos="900" w:val="left"/>
          <w:tab w:leader="none" w:pos="1134" w:val="left"/>
        </w:tabs>
        <w:ind w:firstLine="708"/>
        <w:jc w:val="both"/>
      </w:pPr>
      <w:r w:rsidR="00266761" w:rsidRPr="00266761"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</w:t>
      </w:r>
      <w:r w:rsidR="00284384">
        <w:rPr>
          <w:sz w:val="28"/>
          <w:szCs w:val="28"/>
        </w:rPr>
        <w:t xml:space="preserve"> </w:t>
      </w:r>
      <w:r w:rsidR="00266761" w:rsidRPr="00266761">
        <w:rPr>
          <w:sz w:val="28"/>
          <w:szCs w:val="28"/>
        </w:rPr>
        <w:t xml:space="preserve">по Камчатскому краю в установленном федеральным законодательством порядке.</w:t>
      </w:r>
    </w:p>
    <w:p w:rsidP="004508f3">
      <w:pPr>
        <w:pStyle w:val="Normal"/>
        <w:rPr>
          <w:sz w:val="28"/>
          <w:szCs w:val="28"/>
        </w:rPr>
        <w:tabs>
          <w:tab w:leader="none" w:pos="900" w:val="left"/>
          <w:tab w:leader="none" w:pos="993" w:val="left"/>
        </w:tabs>
        <w:autoSpaceDE w:val="off"/>
        <w:autoSpaceDN w:val="off"/>
        <w:ind w:firstLine="709"/>
        <w:jc w:val="both"/>
      </w:pPr>
      <w:r w:rsidR="00f22b1f">
        <w:rPr>
          <w:sz w:val="28"/>
          <w:szCs w:val="28"/>
        </w:rPr>
        <w:t xml:space="preserve">3. </w:t>
      </w:r>
      <w:r w:rsidR="00266761" w:rsidRPr="00266761">
        <w:rPr>
          <w:sz w:val="28"/>
          <w:szCs w:val="28"/>
        </w:rPr>
        <w:t xml:space="preserve">Главе Петропавловск-Камчатского городского округа после государственной регистрации направить настоящее Решение в газету «Град Петра</w:t>
      </w:r>
      <w:r w:rsidR="00284384">
        <w:rPr>
          <w:sz w:val="28"/>
          <w:szCs w:val="28"/>
        </w:rPr>
        <w:t xml:space="preserve"> </w:t>
      </w:r>
      <w:r w:rsidR="00266761" w:rsidRPr="00266761">
        <w:rPr>
          <w:sz w:val="28"/>
          <w:szCs w:val="28"/>
        </w:rPr>
        <w:t xml:space="preserve">и Павла» для опубликования.</w:t>
      </w:r>
    </w:p>
    <w:p w:rsidP="00266761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266761">
        <w:rPr>
          <w:sz w:val="28"/>
          <w:szCs w:val="28"/>
        </w:rPr>
      </w:r>
    </w:p>
    <w:p w:rsidP="00266761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d1000c">
        <w:rPr>
          <w:sz w:val="28"/>
          <w:szCs w:val="28"/>
        </w:rPr>
      </w:r>
    </w:p>
    <w:tbl>
      <w:tblPr>
        <w:tblW w:type="dxa" w:w="10456"/>
        <w:tblLook w:val="01e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  <w:gridCol w:w="2410"/>
        <w:gridCol w:w="3118"/>
      </w:tblGrid>
      <w:tr>
        <w:trPr>
          <w:trHeight w:hRule="atLeast" w:val="1356"/>
          <w:wAfter w:type="dxa" w:w="0"/>
          <w:trHeight w:hRule="atLeast" w:val="1356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761">
            <w:pPr>
              <w:pStyle w:val="Normal"/>
              <w:rPr>
                <w:sz w:val="28"/>
              </w:rPr>
              <w:spacing w:line="0" w:lineRule="auto"/>
              <w:jc w:val="both"/>
            </w:pPr>
            <w:r w:rsidR="00266761" w:rsidRPr="00266761">
              <w:rPr>
                <w:sz w:val="28"/>
              </w:rPr>
              <w:t xml:space="preserve">Глава Петропавловск-Камчатского  городского округа, исполняющий 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761">
            <w:pPr>
              <w:pStyle w:val="Normal"/>
              <w:rPr>
                <w:sz w:val="28"/>
              </w:rPr>
              <w:spacing w:line="0" w:lineRule="auto"/>
            </w:pPr>
            <w:r w:rsidR="00266761" w:rsidRPr="00266761">
              <w:rPr>
                <w:sz w:val="28"/>
              </w:rPr>
            </w:r>
          </w:p>
        </w:tc>
        <w:tc>
          <w:tcPr>
            <w:textDirection w:val="lrTb"/>
            <w:vAlign w:val="top"/>
            <w:tcW w:type="dxa" w:w="31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761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266761" w:rsidRPr="00266761">
              <w:rPr>
                <w:sz w:val="28"/>
              </w:rPr>
            </w:r>
          </w:p>
          <w:p w:rsidP="00266761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266761" w:rsidRPr="00266761">
              <w:rPr>
                <w:sz w:val="28"/>
              </w:rPr>
            </w:r>
          </w:p>
          <w:p w:rsidP="00266761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266761" w:rsidRPr="00266761">
              <w:rPr>
                <w:sz w:val="28"/>
              </w:rPr>
            </w:r>
          </w:p>
          <w:p w:rsidP="00ec62d4">
            <w:pPr>
              <w:pStyle w:val="Normal"/>
              <w:rPr>
                <w:sz w:val="28"/>
              </w:rPr>
              <w:spacing w:line="0" w:lineRule="auto"/>
            </w:pPr>
            <w:r w:rsidR="00ec62d4">
              <w:rPr>
                <w:sz w:val="28"/>
              </w:rPr>
              <w:t xml:space="preserve">       </w:t>
            </w:r>
            <w:r w:rsidR="00612892">
              <w:rPr>
                <w:sz w:val="28"/>
              </w:rPr>
              <w:t xml:space="preserve">       </w:t>
            </w:r>
            <w:r w:rsidR="00ec62d4">
              <w:rPr>
                <w:sz w:val="28"/>
              </w:rPr>
              <w:t xml:space="preserve"> </w:t>
            </w:r>
            <w:r w:rsidR="00266761" w:rsidRPr="00266761">
              <w:rPr>
                <w:sz w:val="28"/>
              </w:rPr>
              <w:t xml:space="preserve">К.Г.</w:t>
            </w:r>
            <w:r w:rsidR="00266761" w:rsidRPr="00266761">
              <w:rPr>
                <w:sz w:val="28"/>
                <w:lang w:val="en-US"/>
              </w:rPr>
              <w:t xml:space="preserve"> </w:t>
            </w:r>
            <w:r w:rsidR="00266761" w:rsidRPr="00266761">
              <w:rPr>
                <w:sz w:val="28"/>
              </w:rPr>
              <w:t xml:space="preserve">Слыщенко</w:t>
            </w:r>
          </w:p>
        </w:tc>
      </w:tr>
    </w:tbl>
    <w:p w:rsidP="00bd5050">
      <w:pPr>
        <w:pStyle w:val="Normal"/>
        <w:jc w:val="right"/>
      </w:pPr>
      <w:r w:rsidR="00bd5050" w:rsidRPr="00770d1a"/>
    </w:p>
    <w:p w:rsidP="004508f3">
      <w:pPr>
        <w:pStyle w:val="Normal"/>
        <w:jc w:val="right"/>
      </w:pPr>
      <w:r w:rsidR="004508f3" w:rsidRPr="00770d1a"/>
    </w:p>
    <w:tbl>
      <w:tblPr>
        <w:tblW w:type="auto" w:w="0"/>
        <w:tblLook w:val="01e0"/>
        <w:tblW w:type="auto" w:w="0"/>
        <w:tblpPr w:horzAnchor="margin" w:leftFromText="181" w:rightFromText="181" w:tblpX="-4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73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168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4508f3" w:rsidRPr="00c80bac"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E99AC81D-D29E-4771-849E-F41C65F8FF2C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508f3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168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4508f3" w:rsidRPr="008012d5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168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4508f3" w:rsidRPr="008012d5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168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4508f3" w:rsidRPr="008012d5">
              <w:rPr>
                <w:noProof/>
                <w:rFonts w:ascii="Bookman Old Style" w:hAnsi="Bookman Old Style"/>
              </w:rPr>
              <w:pict>
                <v:line id="_x0000_s1083" type="#_x0000_t20" style="position:absolute;mso-position-vertical-relative:page;" from="-4.2000000000000002pt,8.5999999999999996pt" to="504.30000000000001pt,8.5999999999999996pt" strokeweight="63500" filled="f">
                  <v:stroke linestyle="thickThin"/>
                </v:line>
              </w:pict>
            </w:r>
            <w:r w:rsidR="004508f3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4508f3">
      <w:pPr>
        <w:pStyle w:val="Normal"/>
        <w:rPr>
          <w:b/>
          <w:sz w:val="16"/>
          <w:szCs w:val="16"/>
        </w:rPr>
        <w:jc w:val="center"/>
      </w:pPr>
      <w:r w:rsidR="004508f3" w:rsidRPr="00d33263">
        <w:rPr>
          <w:b/>
          <w:sz w:val="16"/>
          <w:szCs w:val="16"/>
        </w:rPr>
      </w:r>
    </w:p>
    <w:p w:rsidP="004508f3">
      <w:pPr>
        <w:pStyle w:val="Normal"/>
        <w:rPr>
          <w:b/>
          <w:sz w:val="36"/>
          <w:szCs w:val="36"/>
        </w:rPr>
        <w:jc w:val="center"/>
      </w:pPr>
      <w:r w:rsidR="004508f3" w:rsidRPr="00ef7e01">
        <w:rPr>
          <w:b/>
          <w:sz w:val="36"/>
          <w:szCs w:val="36"/>
        </w:rPr>
        <w:t xml:space="preserve">РЕШЕНИЕ</w:t>
      </w:r>
    </w:p>
    <w:p w:rsidP="004508f3">
      <w:pPr>
        <w:pStyle w:val="Normal"/>
        <w:rPr>
          <w:b/>
          <w:sz w:val="28"/>
          <w:szCs w:val="28"/>
        </w:rPr>
        <w:jc w:val="center"/>
      </w:pPr>
      <w:r w:rsidR="004508f3" w:rsidRPr="00d558b0">
        <w:rPr>
          <w:b/>
          <w:sz w:val="28"/>
          <w:szCs w:val="28"/>
        </w:rPr>
      </w:r>
    </w:p>
    <w:p w:rsidP="004508f3">
      <w:pPr>
        <w:pStyle w:val="Normal"/>
        <w:rPr>
          <w:sz w:val="28"/>
          <w:szCs w:val="28"/>
        </w:rPr>
        <w:jc w:val="center"/>
      </w:pPr>
      <w:r w:rsidR="004508f3" w:rsidRPr="00d558b0">
        <w:rPr>
          <w:sz w:val="28"/>
          <w:szCs w:val="28"/>
        </w:rPr>
        <w:t xml:space="preserve">от 02.06.2015 № 319-нд</w:t>
      </w:r>
    </w:p>
    <w:p w:rsidP="004508f3">
      <w:pPr>
        <w:pStyle w:val="Normal"/>
        <w:rPr>
          <w:sz w:val="28"/>
          <w:szCs w:val="28"/>
        </w:rPr>
        <w:jc w:val="center"/>
      </w:pPr>
      <w:r w:rsidR="004508f3" w:rsidRPr="00d558b0">
        <w:rPr>
          <w:sz w:val="28"/>
          <w:szCs w:val="28"/>
        </w:rPr>
      </w:r>
    </w:p>
    <w:p w:rsidP="004508f3">
      <w:pPr>
        <w:pStyle w:val="Normal"/>
        <w:rPr>
          <w:b/>
          <w:sz w:val="28"/>
          <w:bCs/>
          <w:szCs w:val="28"/>
        </w:rPr>
        <w:jc w:val="center"/>
      </w:pPr>
      <w:r w:rsidR="004508f3" w:rsidRPr="004216fd">
        <w:rPr>
          <w:b/>
          <w:sz w:val="28"/>
          <w:szCs w:val="28"/>
        </w:rPr>
        <w:t xml:space="preserve">О внесении изменений в </w:t>
      </w:r>
      <w:r w:rsidR="004508f3">
        <w:rPr>
          <w:b/>
          <w:sz w:val="28"/>
          <w:szCs w:val="28"/>
        </w:rPr>
        <w:t xml:space="preserve">Устав</w:t>
      </w:r>
      <w:r w:rsidR="004508f3" w:rsidRPr="004216fd">
        <w:rPr>
          <w:b/>
          <w:sz w:val="28"/>
          <w:bCs/>
          <w:szCs w:val="28"/>
        </w:rPr>
        <w:t xml:space="preserve"> П</w:t>
      </w:r>
      <w:r w:rsidR="004508f3" w:rsidRPr="004216fd">
        <w:rPr>
          <w:b/>
          <w:sz w:val="28"/>
          <w:bCs/>
          <w:szCs w:val="28"/>
        </w:rPr>
        <w:t xml:space="preserve">е</w:t>
      </w:r>
      <w:r w:rsidR="004508f3" w:rsidRPr="004216fd">
        <w:rPr>
          <w:b/>
          <w:sz w:val="28"/>
          <w:bCs/>
          <w:szCs w:val="28"/>
        </w:rPr>
        <w:t xml:space="preserve">тропавловск</w:t>
      </w:r>
      <w:r w:rsidR="004508f3" w:rsidRPr="004216fd">
        <w:rPr>
          <w:sz w:val="28"/>
          <w:bCs/>
          <w:szCs w:val="28"/>
        </w:rPr>
        <w:t xml:space="preserve">-</w:t>
      </w:r>
      <w:r w:rsidR="004508f3" w:rsidRPr="004216fd">
        <w:rPr>
          <w:b/>
          <w:sz w:val="28"/>
          <w:bCs/>
          <w:szCs w:val="28"/>
        </w:rPr>
        <w:t xml:space="preserve">Камчатского </w:t>
      </w:r>
      <w:r w:rsidR="004508f3">
        <w:rPr>
          <w:b/>
          <w:sz w:val="28"/>
          <w:bCs/>
          <w:szCs w:val="28"/>
        </w:rPr>
      </w:r>
    </w:p>
    <w:p w:rsidP="004508f3">
      <w:pPr>
        <w:pStyle w:val="Normal"/>
        <w:rPr>
          <w:b/>
          <w:sz w:val="28"/>
          <w:bCs/>
          <w:szCs w:val="28"/>
        </w:rPr>
        <w:jc w:val="center"/>
      </w:pPr>
      <w:r w:rsidR="004508f3">
        <w:rPr>
          <w:b/>
          <w:sz w:val="28"/>
          <w:bCs/>
          <w:szCs w:val="28"/>
        </w:rPr>
        <w:t xml:space="preserve">городского округа</w:t>
      </w:r>
    </w:p>
    <w:p w:rsidP="004508f3">
      <w:pPr>
        <w:pStyle w:val="Normal"/>
        <w:rPr>
          <w:b/>
          <w:sz w:val="28"/>
          <w:szCs w:val="28"/>
        </w:rPr>
        <w:jc w:val="center"/>
      </w:pPr>
      <w:r w:rsidR="004508f3" w:rsidRPr="00284384">
        <w:rPr>
          <w:b/>
          <w:sz w:val="28"/>
          <w:szCs w:val="28"/>
        </w:rPr>
      </w:r>
    </w:p>
    <w:p w:rsidP="004508f3">
      <w:pPr>
        <w:pStyle w:val="Normal"/>
        <w:rPr>
          <w:i/>
        </w:rPr>
        <w:jc w:val="center"/>
      </w:pPr>
      <w:r w:rsidR="004508f3" w:rsidRPr="00db4f51">
        <w:rPr>
          <w:i/>
        </w:rPr>
        <w:t xml:space="preserve">Принято Городской Думой</w:t>
      </w:r>
      <w:r w:rsidR="004508f3">
        <w:rPr>
          <w:i/>
        </w:rPr>
        <w:t xml:space="preserve"> </w:t>
      </w:r>
      <w:r w:rsidR="004508f3" w:rsidRPr="00db4f51">
        <w:rPr>
          <w:i/>
        </w:rPr>
        <w:t xml:space="preserve">Петропавловск-Камчатского городского округа</w:t>
      </w:r>
    </w:p>
    <w:p w:rsidP="004508f3">
      <w:pPr>
        <w:pStyle w:val="Normal"/>
        <w:rPr>
          <w:i/>
        </w:rPr>
        <w:jc w:val="center"/>
      </w:pPr>
      <w:r w:rsidR="004508f3">
        <w:rPr>
          <w:i/>
        </w:rPr>
        <w:t xml:space="preserve">(р</w:t>
      </w:r>
      <w:r w:rsidR="004508f3" w:rsidRPr="00db4f51">
        <w:rPr>
          <w:i/>
        </w:rPr>
        <w:t xml:space="preserve">ешение от</w:t>
      </w:r>
      <w:r w:rsidR="004508f3">
        <w:rPr>
          <w:i/>
        </w:rPr>
        <w:t xml:space="preserve"> 27.05.2015</w:t>
      </w:r>
      <w:r w:rsidR="004508f3" w:rsidRPr="00db4f51">
        <w:rPr>
          <w:i/>
        </w:rPr>
        <w:t xml:space="preserve"> № </w:t>
      </w:r>
      <w:r w:rsidR="004508f3">
        <w:rPr>
          <w:i/>
        </w:rPr>
        <w:t xml:space="preserve">743</w:t>
      </w:r>
      <w:r w:rsidR="004508f3" w:rsidRPr="00db4f51">
        <w:rPr>
          <w:i/>
        </w:rPr>
        <w:t xml:space="preserve">-р)</w:t>
      </w:r>
    </w:p>
    <w:p w:rsidP="004508f3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4508f3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ind w:firstLine="709" w:left="0"/>
        <w:jc w:val="both"/>
        <w:numPr>
          <w:ilvl w:val="0"/>
          <w:numId w:val="6"/>
        </w:numPr>
      </w:pPr>
      <w:r w:rsidR="004508f3">
        <w:rPr>
          <w:sz w:val="28"/>
          <w:szCs w:val="28"/>
        </w:rPr>
        <w:t xml:space="preserve">В части 1 статьи 13:</w:t>
      </w:r>
    </w:p>
    <w:p w:rsidP="004508f3">
      <w:pPr>
        <w:pStyle w:val="Normal"/>
        <w:rPr>
          <w:sz w:val="28"/>
          <w:szCs w:val="28"/>
        </w:rPr>
        <w:tabs>
          <w:tab w:leader="none" w:pos="567" w:val="left"/>
          <w:tab w:leader="none" w:pos="993" w:val="left"/>
        </w:tabs>
        <w:autoSpaceDE w:val="off"/>
        <w:autoSpaceDN w:val="off"/>
        <w:ind w:firstLine="709" w:left="0"/>
        <w:jc w:val="both"/>
        <w:numPr>
          <w:ilvl w:val="0"/>
          <w:numId w:val="18"/>
        </w:numPr>
      </w:pPr>
      <w:r w:rsidR="004508f3">
        <w:rPr>
          <w:sz w:val="28"/>
          <w:szCs w:val="28"/>
        </w:rPr>
        <w:t xml:space="preserve">в пункте 8.1 </w:t>
      </w:r>
      <w:r w:rsidR="004508f3" w:rsidRPr="00ce598c">
        <w:rPr>
          <w:sz w:val="28"/>
          <w:szCs w:val="28"/>
        </w:rPr>
        <w:t xml:space="preserve">после слов</w:t>
      </w:r>
      <w:r w:rsidR="004508f3">
        <w:rPr>
          <w:sz w:val="28"/>
          <w:szCs w:val="28"/>
        </w:rPr>
        <w:t xml:space="preserve">а</w:t>
      </w:r>
      <w:r w:rsidR="004508f3" w:rsidRPr="00ce598c">
        <w:rPr>
          <w:sz w:val="28"/>
          <w:szCs w:val="28"/>
        </w:rPr>
        <w:t xml:space="preserve"> «округа» дополнить словами «</w:t>
      </w:r>
      <w:r w:rsidR="004508f3">
        <w:rPr>
          <w:sz w:val="28"/>
          <w:szCs w:val="28"/>
        </w:rPr>
        <w:t xml:space="preserve">, </w:t>
      </w:r>
      <w:r w:rsidR="004508f3" w:rsidRPr="00ce598c">
        <w:rPr>
          <w:sz w:val="28"/>
          <w:szCs w:val="28"/>
        </w:rPr>
        <w:t xml:space="preserve">программ комплексного развития транспортной инфраструктуры городск</w:t>
      </w:r>
      <w:r w:rsidR="004508f3">
        <w:rPr>
          <w:sz w:val="28"/>
          <w:szCs w:val="28"/>
        </w:rPr>
        <w:t xml:space="preserve">ого</w:t>
      </w:r>
      <w:r w:rsidR="004508f3" w:rsidRPr="00ce598c">
        <w:rPr>
          <w:sz w:val="28"/>
          <w:szCs w:val="28"/>
        </w:rPr>
        <w:t xml:space="preserve"> округа, программ комплексного развития социальной инфраструктуры</w:t>
      </w:r>
      <w:r w:rsidR="004508f3">
        <w:rPr>
          <w:sz w:val="28"/>
          <w:szCs w:val="28"/>
        </w:rPr>
        <w:t xml:space="preserve"> городского округа»;</w:t>
      </w:r>
    </w:p>
    <w:p w:rsidP="004508f3">
      <w:pPr>
        <w:pStyle w:val="Normal"/>
        <w:rPr>
          <w:sz w:val="28"/>
          <w:szCs w:val="28"/>
        </w:rPr>
        <w:tabs>
          <w:tab w:leader="none" w:pos="0" w:val="left"/>
          <w:tab w:leader="none" w:pos="567" w:val="left"/>
          <w:tab w:leader="none" w:pos="993" w:val="left"/>
        </w:tabs>
        <w:autoSpaceDE w:val="off"/>
        <w:autoSpaceDN w:val="off"/>
        <w:ind w:firstLine="709" w:left="0"/>
        <w:jc w:val="both"/>
        <w:numPr>
          <w:ilvl w:val="0"/>
          <w:numId w:val="18"/>
        </w:numPr>
      </w:pPr>
      <w:r w:rsidR="004508f3" w:rsidRPr="00057a4d">
        <w:rPr>
          <w:sz w:val="28"/>
          <w:szCs w:val="28"/>
        </w:rPr>
        <w:t xml:space="preserve">пункт 11</w:t>
      </w:r>
      <w:r w:rsidR="004508f3">
        <w:rPr>
          <w:sz w:val="28"/>
          <w:szCs w:val="28"/>
        </w:rPr>
        <w:t xml:space="preserve"> </w:t>
      </w:r>
      <w:r w:rsidR="007e6301">
        <w:rPr>
          <w:sz w:val="28"/>
          <w:szCs w:val="28"/>
        </w:rPr>
        <w:t xml:space="preserve">допо</w:t>
      </w:r>
      <w:r w:rsidR="004508f3" w:rsidRPr="00057a4d">
        <w:rPr>
          <w:sz w:val="28"/>
          <w:szCs w:val="28"/>
        </w:rPr>
        <w:t xml:space="preserve">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 w:rsidR="004508f3">
        <w:rPr>
          <w:sz w:val="28"/>
          <w:szCs w:val="28"/>
        </w:rPr>
        <w:t xml:space="preserve">.</w:t>
      </w:r>
      <w:r w:rsidR="004508f3" w:rsidRPr="00057a4d">
        <w:rPr>
          <w:sz w:val="28"/>
          <w:szCs w:val="28"/>
        </w:rPr>
      </w:r>
    </w:p>
    <w:p w:rsidP="004508f3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6"/>
        </w:numPr>
      </w:pPr>
      <w:r w:rsidR="004508f3" w:rsidRPr="00f1165e">
        <w:rPr>
          <w:sz w:val="28"/>
          <w:szCs w:val="28"/>
        </w:rPr>
        <w:t xml:space="preserve">Пункт 3 части 3 статьи 22 после слов «проекты планировки территорий             и проекты межевания территорий,» дополнить словами «за исключением случаев, предусмотренных Градостроительным кодексом Российской Федерации</w:t>
      </w:r>
      <w:r w:rsidR="004508f3">
        <w:rPr>
          <w:sz w:val="28"/>
          <w:szCs w:val="28"/>
        </w:rPr>
        <w:t xml:space="preserve">,</w:t>
      </w:r>
      <w:r w:rsidR="004508f3" w:rsidRPr="00f1165e">
        <w:rPr>
          <w:sz w:val="28"/>
          <w:szCs w:val="28"/>
        </w:rPr>
        <w:t xml:space="preserve">».</w:t>
      </w:r>
      <w:r w:rsidR="004508f3">
        <w:rPr>
          <w:sz w:val="28"/>
          <w:szCs w:val="28"/>
        </w:rPr>
      </w:r>
    </w:p>
    <w:p w:rsidP="004508f3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6"/>
        </w:numPr>
      </w:pPr>
      <w:r w:rsidR="004508f3" w:rsidRPr="003456d8">
        <w:rPr>
          <w:sz w:val="28"/>
          <w:szCs w:val="28"/>
        </w:rPr>
        <w:t xml:space="preserve">В статье 36:</w:t>
      </w:r>
    </w:p>
    <w:p w:rsidP="004508f3">
      <w:pPr>
        <w:pStyle w:val="Normal"/>
        <w:rPr>
          <w:sz w:val="28"/>
          <w:szCs w:val="28"/>
        </w:rPr>
        <w:tabs>
          <w:tab w:leader="none" w:pos="993" w:val="left"/>
          <w:tab w:leader="none" w:pos="1134" w:val="left"/>
        </w:tabs>
        <w:autoSpaceDE w:val="off"/>
        <w:autoSpaceDN w:val="off"/>
        <w:outlineLvl w:val="0"/>
        <w:ind w:left="1070"/>
        <w:jc w:val="both"/>
        <w:numPr>
          <w:ilvl w:val="0"/>
          <w:numId w:val="10"/>
        </w:numPr>
      </w:pPr>
      <w:r w:rsidR="004508f3">
        <w:rPr>
          <w:sz w:val="28"/>
          <w:szCs w:val="28"/>
        </w:rPr>
        <w:t xml:space="preserve">в части 1:</w:t>
      </w:r>
    </w:p>
    <w:p w:rsidP="004508f3">
      <w:pPr>
        <w:pStyle w:val="Normal"/>
        <w:rPr>
          <w:sz w:val="28"/>
          <w:szCs w:val="28"/>
        </w:rPr>
        <w:tabs>
          <w:tab w:leader="none" w:pos="709" w:val="left"/>
        </w:tabs>
        <w:autoSpaceDE w:val="off"/>
        <w:autoSpaceDN w:val="off"/>
        <w:outlineLvl w:val="0"/>
        <w:ind w:left="709"/>
        <w:jc w:val="both"/>
      </w:pPr>
      <w:r w:rsidR="004508f3">
        <w:rPr>
          <w:sz w:val="28"/>
          <w:szCs w:val="28"/>
        </w:rPr>
        <w:t xml:space="preserve">- подпункт 1 признать утратившим силу;</w:t>
      </w:r>
    </w:p>
    <w:p w:rsidP="004508f3">
      <w:pPr>
        <w:pStyle w:val="Normal"/>
        <w:rPr>
          <w:sz w:val="28"/>
          <w:szCs w:val="28"/>
        </w:rPr>
        <w:tabs>
          <w:tab w:leader="none" w:pos="0" w:val="left"/>
          <w:tab w:leader="none" w:pos="993" w:val="left"/>
        </w:tabs>
        <w:autoSpaceDE w:val="off"/>
        <w:autoSpaceDN w:val="off"/>
        <w:outlineLvl w:val="0"/>
        <w:ind w:left="709"/>
        <w:jc w:val="both"/>
      </w:pPr>
      <w:r w:rsidR="004508f3">
        <w:rPr>
          <w:sz w:val="28"/>
          <w:szCs w:val="28"/>
        </w:rPr>
        <w:t xml:space="preserve">- подпункт 2 изложить в следующей редакции:</w:t>
      </w:r>
    </w:p>
    <w:p w:rsidP="004508f3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4508f3">
        <w:rPr>
          <w:sz w:val="28"/>
          <w:szCs w:val="28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     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Камчатского края, ему не поручено участвовать в </w:t>
      </w:r>
      <w:r w:rsidR="004508f3" w:rsidRPr="004c6b5a">
        <w:rPr>
          <w:sz w:val="28"/>
          <w:szCs w:val="28"/>
        </w:rPr>
        <w:t xml:space="preserve">управлении этой организацией;»;</w:t>
      </w:r>
      <w:r w:rsidR="004508f3">
        <w:rPr>
          <w:sz w:val="28"/>
          <w:szCs w:val="28"/>
        </w:rPr>
      </w:r>
    </w:p>
    <w:p w:rsidP="004508f3">
      <w:pPr>
        <w:pStyle w:val="Normal"/>
        <w:rPr>
          <w:b/>
          <w:sz w:val="28"/>
          <w:szCs w:val="28"/>
        </w:rPr>
        <w:tabs>
          <w:tab w:leader="none" w:pos="142" w:val="left"/>
          <w:tab w:leader="none" w:pos="426" w:val="left"/>
          <w:tab w:leader="none" w:pos="993" w:val="left"/>
        </w:tabs>
        <w:autoSpaceDE w:val="off"/>
        <w:autoSpaceDN w:val="off"/>
        <w:ind w:firstLine="709" w:left="0"/>
        <w:jc w:val="both"/>
        <w:numPr>
          <w:ilvl w:val="0"/>
          <w:numId w:val="10"/>
        </w:numPr>
      </w:pPr>
      <w:r w:rsidR="004508f3" w:rsidRPr="004508f3">
        <w:rPr>
          <w:sz w:val="28"/>
          <w:szCs w:val="28"/>
        </w:rPr>
        <w:t xml:space="preserve">в</w:t>
      </w:r>
      <w:r w:rsidR="004508f3" w:rsidRPr="004c6b5a">
        <w:rPr>
          <w:sz w:val="28"/>
          <w:szCs w:val="28"/>
        </w:rPr>
        <w:t xml:space="preserve"> части 2 после слов «по гражданскому» дополнить словом                                      «, </w:t>
      </w:r>
      <w:r w:rsidR="004508f3" w:rsidRPr="002d1683">
        <w:rPr>
          <w:sz w:val="28"/>
          <w:szCs w:val="28"/>
        </w:rPr>
        <w:t xml:space="preserve">административному». </w:t>
      </w:r>
      <w:r w:rsidR="004508f3" w:rsidRPr="002d1683">
        <w:rPr>
          <w:b/>
          <w:sz w:val="28"/>
          <w:szCs w:val="28"/>
        </w:rPr>
      </w:r>
    </w:p>
    <w:p w:rsidP="00c3549a">
      <w:pPr>
        <w:pStyle w:val="Normal"/>
        <w:rPr>
          <w:sz w:val="28"/>
          <w:szCs w:val="28"/>
        </w:rPr>
        <w:tabs>
          <w:tab w:leader="none" w:pos="993" w:val="left"/>
          <w:tab w:leader="none" w:pos="1276" w:val="left"/>
        </w:tabs>
        <w:autoSpaceDE w:val="off"/>
        <w:autoSpaceDN w:val="off"/>
        <w:ind w:firstLine="709"/>
        <w:jc w:val="both"/>
      </w:pPr>
      <w:r w:rsidR="004508f3" w:rsidRPr="002d1683">
        <w:rPr>
          <w:sz w:val="28"/>
          <w:szCs w:val="28"/>
        </w:rPr>
        <w:t xml:space="preserve">4. </w:t>
      </w:r>
      <w:r w:rsidR="00c3549a" w:rsidRPr="002d1683">
        <w:rPr>
          <w:sz w:val="28"/>
          <w:szCs w:val="28"/>
        </w:rPr>
        <w:t xml:space="preserve">Абзац второй пункта 4 части 6 </w:t>
      </w:r>
      <w:r w:rsidR="004508f3" w:rsidRPr="002d1683">
        <w:rPr>
          <w:sz w:val="28"/>
          <w:szCs w:val="28"/>
        </w:rPr>
        <w:t xml:space="preserve">стать</w:t>
      </w:r>
      <w:r w:rsidR="00c3549a" w:rsidRPr="002d1683">
        <w:rPr>
          <w:sz w:val="28"/>
          <w:szCs w:val="28"/>
        </w:rPr>
        <w:t xml:space="preserve">и</w:t>
      </w:r>
      <w:r w:rsidR="004508f3" w:rsidRPr="002d1683">
        <w:rPr>
          <w:sz w:val="28"/>
          <w:szCs w:val="28"/>
        </w:rPr>
        <w:t xml:space="preserve"> 38</w:t>
      </w:r>
      <w:r w:rsidR="00c3549a" w:rsidRPr="002d1683">
        <w:rPr>
          <w:sz w:val="28"/>
          <w:szCs w:val="28"/>
        </w:rPr>
        <w:t xml:space="preserve"> </w:t>
      </w:r>
      <w:r w:rsidR="004508f3" w:rsidRPr="002d1683">
        <w:rPr>
          <w:sz w:val="28"/>
          <w:szCs w:val="28"/>
        </w:rPr>
        <w:t xml:space="preserve">после слов «по гражданскому» дополнить словом «, административному». </w:t>
      </w:r>
    </w:p>
    <w:p w:rsidP="004508f3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20"/>
        </w:numPr>
      </w:pPr>
      <w:r w:rsidR="004508f3" w:rsidRPr="002d1683">
        <w:rPr>
          <w:sz w:val="28"/>
          <w:szCs w:val="28"/>
        </w:rPr>
        <w:t xml:space="preserve">Пункт 4 части </w:t>
      </w:r>
      <w:r w:rsidR="004d29c6">
        <w:rPr>
          <w:sz w:val="28"/>
          <w:szCs w:val="28"/>
        </w:rPr>
        <w:t xml:space="preserve">1.1 статьи 40 дополнить словами</w:t>
      </w:r>
      <w:r w:rsidR="004508f3" w:rsidRPr="002d1683">
        <w:rPr>
          <w:sz w:val="28"/>
          <w:szCs w:val="28"/>
        </w:rPr>
        <w:t xml:space="preserve"> «при непосредственной угрозе жизни ребенка или его здоровью».</w:t>
      </w:r>
    </w:p>
    <w:p w:rsidP="004508f3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20"/>
        </w:numPr>
      </w:pPr>
      <w:r w:rsidR="004508f3" w:rsidRPr="002d1683">
        <w:rPr>
          <w:sz w:val="28"/>
          <w:szCs w:val="28"/>
        </w:rPr>
        <w:t xml:space="preserve">Часть 2 статьи 42 изложить в следующей редакции:</w:t>
      </w:r>
    </w:p>
    <w:p w:rsidP="004508f3">
      <w:pPr>
        <w:pStyle w:val="Normal"/>
        <w:rPr>
          <w:sz w:val="28"/>
          <w:szCs w:val="28"/>
        </w:rPr>
        <w:ind w:firstLine="708"/>
        <w:jc w:val="both"/>
      </w:pPr>
      <w:r w:rsidR="004508f3">
        <w:rPr>
          <w:sz w:val="28"/>
          <w:szCs w:val="28"/>
        </w:rPr>
        <w:t xml:space="preserve">«2. </w:t>
      </w:r>
      <w:r w:rsidR="004508f3" w:rsidRPr="003900e1">
        <w:rPr>
          <w:sz w:val="28"/>
          <w:szCs w:val="28"/>
        </w:rPr>
        <w:t xml:space="preserve">Полномочия Главы городского округа в случаях, предусмотренных пунктами 1, 5-11 части 1 и частями 1.1 и 1.2 настоящей статьи, прекращаются досрочно со дня наступления соответствующих событий. Городская Дума в течение месяца должна принять решение о досрочном прекращении полномочий Главы городского округа, которое подлежит официальному опубликованию в средствах массовой информации.</w:t>
      </w:r>
    </w:p>
    <w:p w:rsidP="004508f3">
      <w:pPr>
        <w:pStyle w:val="Normal"/>
        <w:rPr>
          <w:sz w:val="28"/>
          <w:szCs w:val="28"/>
        </w:rPr>
        <w:ind w:firstLine="709"/>
        <w:jc w:val="both"/>
      </w:pPr>
      <w:r w:rsidR="004508f3" w:rsidRPr="003900e1">
        <w:rPr>
          <w:sz w:val="28"/>
          <w:szCs w:val="28"/>
        </w:rPr>
        <w:t xml:space="preserve">Полномочия Главы городского округа в случае, предусмотренном пунктом 2 части 1 настоящей статьи,  прекращаются решением Городской Думы на основании письменного заявления Главы городского округа. Городская Дума должна принять такое решение в течение месяца со дня подачи заявления Главы городского округа об отставке по собственному желанию. В случае непринятия Городской Думой соответствующего решения, полномочия Главы городского округа считаются прекращенными через </w:t>
      </w:r>
      <w:r w:rsidR="007e6301">
        <w:rPr>
          <w:sz w:val="28"/>
          <w:szCs w:val="28"/>
        </w:rPr>
        <w:t xml:space="preserve">2</w:t>
      </w:r>
      <w:r w:rsidR="004508f3" w:rsidRPr="003900e1">
        <w:rPr>
          <w:sz w:val="28"/>
          <w:szCs w:val="28"/>
        </w:rPr>
        <w:t xml:space="preserve"> недели по истечении месячного срока для принятия Городской Думой решения.</w:t>
      </w:r>
    </w:p>
    <w:p w:rsidP="004508f3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4508f3" w:rsidRPr="003900e1">
        <w:rPr>
          <w:sz w:val="28"/>
          <w:szCs w:val="28"/>
        </w:rPr>
        <w:t xml:space="preserve">Решение об удалении Главы городского округа в отставку в соответствии со статьей 74.1 Федерального закона «Об общих принципах организации местного самоуправления в Российской Федерации» принимается тайным голосованием.</w:t>
      </w:r>
      <w:r w:rsidR="004508f3">
        <w:rPr>
          <w:sz w:val="28"/>
          <w:szCs w:val="28"/>
        </w:rPr>
      </w:r>
    </w:p>
    <w:p w:rsidP="004508f3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4508f3" w:rsidRPr="00f1165e">
        <w:rPr>
          <w:sz w:val="28"/>
          <w:szCs w:val="28"/>
        </w:rPr>
        <w:t xml:space="preserve">Глава городского округа, в отношении которого Городской Думой принято решение об удалении его в отставку</w:t>
      </w:r>
      <w:r w:rsidR="004508f3" w:rsidRPr="00f1165e">
        <w:t xml:space="preserve"> </w:t>
      </w:r>
      <w:r w:rsidR="004508f3" w:rsidRPr="00f1165e">
        <w:rPr>
          <w:sz w:val="28"/>
          <w:szCs w:val="28"/>
        </w:rPr>
        <w:t xml:space="preserve">в соответствии со статьей 74.1 Федерального закона «Об общих принципах организации местного самоуправления в Российской Федерации», вправе обратиться с заявлением об обжаловании указанного решения в суд в течение </w:t>
      </w:r>
      <w:r w:rsidR="004508f3">
        <w:rPr>
          <w:sz w:val="28"/>
          <w:szCs w:val="28"/>
        </w:rPr>
        <w:t xml:space="preserve">10 </w:t>
      </w:r>
      <w:r w:rsidR="004508f3" w:rsidRPr="00f1165e">
        <w:rPr>
          <w:sz w:val="28"/>
          <w:szCs w:val="28"/>
        </w:rPr>
        <w:t xml:space="preserve">дней со дня официального опубликования такого решения.</w:t>
      </w:r>
      <w:r w:rsidR="009457d5">
        <w:rPr>
          <w:sz w:val="28"/>
          <w:szCs w:val="28"/>
        </w:rPr>
        <w:t xml:space="preserve"> </w:t>
      </w:r>
      <w:r w:rsidR="00dd6305" w:rsidRPr="002d1683">
        <w:rPr>
          <w:sz w:val="28"/>
          <w:szCs w:val="28"/>
        </w:rPr>
        <w:t xml:space="preserve">При этом если Глава городского округа</w:t>
      </w:r>
      <w:r w:rsidR="00c3549a" w:rsidRPr="002d1683">
        <w:rPr>
          <w:sz w:val="28"/>
          <w:szCs w:val="28"/>
        </w:rPr>
        <w:t xml:space="preserve"> </w:t>
      </w:r>
      <w:r w:rsidR="00dd6305" w:rsidRPr="002d1683">
        <w:rPr>
          <w:sz w:val="28"/>
          <w:szCs w:val="28"/>
        </w:rPr>
        <w:t xml:space="preserve">обжалует в судебном порядке </w:t>
      </w:r>
      <w:r w:rsidR="00c3549a" w:rsidRPr="002d1683">
        <w:rPr>
          <w:sz w:val="28"/>
          <w:szCs w:val="28"/>
        </w:rPr>
        <w:t xml:space="preserve">решение Городской Думы об удалении его в отставку</w:t>
      </w:r>
      <w:r w:rsidR="00dd6305" w:rsidRPr="002d1683">
        <w:rPr>
          <w:sz w:val="28"/>
          <w:szCs w:val="28"/>
        </w:rPr>
        <w:t xml:space="preserve">, Городская Дума не вправе принимать решение об избрании из своего состава Главы </w:t>
      </w:r>
      <w:r w:rsidR="007e6301">
        <w:rPr>
          <w:sz w:val="28"/>
          <w:szCs w:val="28"/>
        </w:rPr>
        <w:t xml:space="preserve">городского округа </w:t>
      </w:r>
      <w:r w:rsidR="00dd6305" w:rsidRPr="002d1683">
        <w:rPr>
          <w:sz w:val="28"/>
          <w:szCs w:val="28"/>
        </w:rPr>
        <w:t xml:space="preserve">до вступления решения суда в законную силу.</w:t>
      </w:r>
    </w:p>
    <w:p w:rsidP="004508f3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4508f3" w:rsidRPr="002d1683">
        <w:rPr>
          <w:sz w:val="28"/>
          <w:szCs w:val="28"/>
        </w:rPr>
        <w:t xml:space="preserve">В случае досрочного прекращения полномочий Главы городского округа Городская Дума в течение 7 дней назначает внеочередную сессию по выборам Главы городского округа.</w:t>
      </w:r>
    </w:p>
    <w:p w:rsidP="004508f3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4508f3" w:rsidRPr="002d1683">
        <w:rPr>
          <w:sz w:val="28"/>
          <w:szCs w:val="28"/>
        </w:rPr>
        <w:t xml:space="preserve">В случае досрочного прекращения полномочий Главы городского округа, его полномочия до дня вступления в должность вновь избранного Главы городского округа</w:t>
      </w:r>
      <w:r w:rsidR="00126d07">
        <w:rPr>
          <w:sz w:val="28"/>
          <w:szCs w:val="28"/>
        </w:rPr>
        <w:t xml:space="preserve">,</w:t>
      </w:r>
      <w:r w:rsidR="004508f3" w:rsidRPr="002d1683">
        <w:rPr>
          <w:sz w:val="28"/>
          <w:szCs w:val="28"/>
        </w:rPr>
        <w:t xml:space="preserve"> временно исполняет старший по возрасту заместитель председателя Городской Думы, председатель Комитета, исполняющий свои полномочия на постоянной основе.».</w:t>
      </w:r>
    </w:p>
    <w:p w:rsidP="002d1683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21"/>
        </w:numPr>
      </w:pPr>
      <w:r w:rsidR="004508f3" w:rsidRPr="002d1683">
        <w:rPr>
          <w:sz w:val="28"/>
          <w:szCs w:val="28"/>
        </w:rPr>
        <w:t xml:space="preserve">В части 2 статьи 64 после слов «определенных Законом Камчатского края «О муниципальной службе в Камчатском крае» в соответствии с классификацией должностей муниципальной службы» дополнить словами «, и иными муниципальными правовыми актами городского округа».</w:t>
      </w:r>
    </w:p>
    <w:p w:rsidP="004508f3">
      <w:pPr>
        <w:pStyle w:val="Normal"/>
        <w:rPr>
          <w:sz w:val="28"/>
          <w:szCs w:val="28"/>
        </w:rPr>
        <w:tabs>
          <w:tab w:leader="none" w:pos="993" w:val="left"/>
          <w:tab w:leader="none" w:pos="1134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21"/>
        </w:numPr>
      </w:pPr>
      <w:r w:rsidR="004508f3" w:rsidRPr="002d1683">
        <w:rPr>
          <w:sz w:val="28"/>
          <w:szCs w:val="28"/>
        </w:rPr>
        <w:t xml:space="preserve">Пункт 1 части 2 статьи 67 изложить в следующей редакции:</w:t>
      </w:r>
    </w:p>
    <w:p w:rsidP="004508f3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4508f3" w:rsidRPr="002d1683">
        <w:rPr>
          <w:sz w:val="28"/>
          <w:szCs w:val="28"/>
        </w:rPr>
        <w:t xml:space="preserve">«1) дополнительное профессиональное образование с сохранением на этот период замещаемой должности муниципальной службы и денежного содержания в порядке, предусмотренном законодательством Российской Федерации                      об образовании и законодательством Российской Федерации о муниципальной службе;».</w:t>
      </w:r>
    </w:p>
    <w:p w:rsidP="004508f3">
      <w:pPr>
        <w:pStyle w:val="Normal"/>
        <w:rPr>
          <w:sz w:val="28"/>
          <w:szCs w:val="28"/>
        </w:rPr>
        <w:tabs>
          <w:tab w:leader="none" w:pos="993" w:val="left"/>
          <w:tab w:leader="none" w:pos="1134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21"/>
        </w:numPr>
      </w:pPr>
      <w:r w:rsidR="004508f3" w:rsidRPr="002d1683">
        <w:rPr>
          <w:sz w:val="28"/>
          <w:szCs w:val="28"/>
        </w:rPr>
        <w:t xml:space="preserve">Статью 68 признать утратившей силу.</w:t>
      </w:r>
    </w:p>
    <w:p w:rsidP="004508f3">
      <w:pPr>
        <w:pStyle w:val="Normal"/>
        <w:rPr>
          <w:sz w:val="28"/>
          <w:szCs w:val="28"/>
        </w:rPr>
        <w:tabs>
          <w:tab w:leader="none" w:pos="0" w:val="left"/>
          <w:tab w:leader="none" w:pos="993" w:val="left"/>
          <w:tab w:leader="none" w:pos="1134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21"/>
        </w:numPr>
      </w:pPr>
      <w:r w:rsidR="004508f3" w:rsidRPr="002d1683">
        <w:rPr>
          <w:sz w:val="28"/>
          <w:szCs w:val="28"/>
        </w:rPr>
        <w:t xml:space="preserve"> Настоящее Решение вступает в силу после дня его официального опубликования после государственной регистрации, за исключением подпункта 2 пункта 3, пункта 4, вступающих в силу с 15.09.2015.</w:t>
      </w:r>
    </w:p>
    <w:p w:rsidP="004508f3">
      <w:pPr>
        <w:pStyle w:val="Normal"/>
        <w:rPr>
          <w:sz w:val="28"/>
          <w:szCs w:val="28"/>
          <w:color w:val="ff0000"/>
        </w:rPr>
        <w:jc w:val="both"/>
      </w:pPr>
      <w:r w:rsidR="004508f3">
        <w:rPr>
          <w:sz w:val="28"/>
          <w:szCs w:val="28"/>
          <w:color w:val="ff0000"/>
        </w:rPr>
      </w:r>
    </w:p>
    <w:p w:rsidP="004508f3">
      <w:pPr>
        <w:pStyle w:val="Normal"/>
        <w:rPr>
          <w:sz w:val="28"/>
          <w:szCs w:val="28"/>
          <w:color w:val="ff0000"/>
        </w:rPr>
        <w:jc w:val="both"/>
      </w:pPr>
      <w:r w:rsidR="004508f3">
        <w:rPr>
          <w:sz w:val="28"/>
          <w:szCs w:val="28"/>
          <w:color w:val="ff0000"/>
        </w:rPr>
      </w:r>
    </w:p>
    <w:p w:rsidP="004508f3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  <w:t xml:space="preserve">Глава </w:t>
      </w:r>
    </w:p>
    <w:p w:rsidP="004508f3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  <w:t xml:space="preserve">Петропавловск-Камчатского</w:t>
      </w:r>
    </w:p>
    <w:p w:rsidP="004508f3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  <w:t xml:space="preserve">городского округа                                                 </w:t>
      </w:r>
      <w:r w:rsidR="006e698d">
        <w:rPr>
          <w:sz w:val="28"/>
          <w:szCs w:val="28"/>
        </w:rPr>
        <w:t xml:space="preserve">          </w:t>
      </w:r>
      <w:r w:rsidR="004508f3">
        <w:rPr>
          <w:sz w:val="28"/>
          <w:szCs w:val="28"/>
        </w:rPr>
        <w:t xml:space="preserve">                             К.Г. Слыщенко</w:t>
      </w:r>
      <w:r w:rsidR="004508f3" w:rsidRPr="00912cbf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>
        <w:rPr>
          <w:sz w:val="28"/>
          <w:szCs w:val="28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4508f3" w:rsidRPr="00912cbf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8c811bb"/>
    <w:multiLevelType w:val="hybridMultilevel"/>
    <w:tmpl w:val="dc52b8e0"/>
    <w:lvl w:ilvl="0">
      <w:start w:val="2"/>
      <w:numFmt w:val="decimal"/>
      <w:suff w:val="tab"/>
      <w:lvlText w:val="%1)"/>
      <w:lvlJc w:val="left"/>
      <w:pPr>
        <w:pStyle w:val="Normal"/>
        <w:ind w:hanging="360" w:left="107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">
    <w:nsid w:val="09570c0f"/>
    <w:multiLevelType w:val="hybridMultilevel"/>
    <w:tmpl w:val="0254ad4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0be0418a"/>
    <w:multiLevelType w:val="hybridMultilevel"/>
    <w:tmpl w:val="ea9c0bda"/>
    <w:lvl w:ilvl="0">
      <w:start w:val="5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8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88"/>
      </w:pPr>
    </w:lvl>
  </w:abstractNum>
  <w:abstractNum w:abstractNumId="3">
    <w:nsid w:val="208d797e"/>
    <w:multiLevelType w:val="hybridMultilevel"/>
    <w:tmpl w:val="c6ae7328"/>
    <w:lvl w:ilvl="0">
      <w:start w:val="9"/>
      <w:numFmt w:val="decimal"/>
      <w:suff w:val="tab"/>
      <w:lvlText w:val="%1.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4">
    <w:nsid w:val="262e7924"/>
    <w:multiLevelType w:val="hybridMultilevel"/>
    <w:tmpl w:val="ba841160"/>
    <w:lvl w:ilvl="0">
      <w:start w:val="1"/>
      <w:numFmt w:val="decimal"/>
      <w:suff w:val="tab"/>
      <w:lvlText w:val="%1)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5">
    <w:nsid w:val="28bd036e"/>
    <w:multiLevelType w:val="hybridMultilevel"/>
    <w:tmpl w:val="c5ba0fd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28cb1cc4"/>
    <w:multiLevelType w:val="hybridMultilevel"/>
    <w:tmpl w:val="f86e447a"/>
    <w:lvl w:ilvl="0">
      <w:start w:val="5"/>
      <w:numFmt w:val="decimal"/>
      <w:suff w:val="tab"/>
      <w:lvlText w:val="%1.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7">
    <w:nsid w:val="2e221173"/>
    <w:multiLevelType w:val="hybridMultilevel"/>
    <w:tmpl w:val="4106010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8">
    <w:nsid w:val="2e552331"/>
    <w:multiLevelType w:val="hybridMultilevel"/>
    <w:tmpl w:val="c69a8294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9">
    <w:nsid w:val="323a27fe"/>
    <w:multiLevelType w:val="hybridMultilevel"/>
    <w:tmpl w:val="6dce0edc"/>
    <w:lvl w:ilvl="0">
      <w:start w:val="8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0">
    <w:nsid w:val="3aa57b2b"/>
    <w:multiLevelType w:val="hybridMultilevel"/>
    <w:tmpl w:val="4440ac28"/>
    <w:lvl w:ilvl="0">
      <w:start w:val="4"/>
      <w:numFmt w:val="decimal"/>
      <w:suff w:val="tab"/>
      <w:lvlText w:val="%1.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11">
    <w:nsid w:val="42805ad1"/>
    <w:multiLevelType w:val="hybridMultilevel"/>
    <w:tmpl w:val="2918effc"/>
    <w:lvl w:ilvl="0">
      <w:start w:val="7"/>
      <w:numFmt w:val="decimal"/>
      <w:suff w:val="tab"/>
      <w:lvlText w:val="%1.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12">
    <w:nsid w:val="43c23e50"/>
    <w:multiLevelType w:val="hybridMultilevel"/>
    <w:tmpl w:val="a2f41d22"/>
    <w:lvl w:ilvl="0">
      <w:start w:val="6"/>
      <w:numFmt w:val="decimal"/>
      <w:suff w:val="tab"/>
      <w:lvlText w:val="%1."/>
      <w:lvlJc w:val="left"/>
      <w:pPr>
        <w:pStyle w:val="Normal"/>
        <w:ind w:hanging="360" w:left="1429"/>
      </w:pPr>
      <w:rPr>
        <w:sz w:val="28"/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9"/>
      </w:pPr>
    </w:lvl>
  </w:abstractNum>
  <w:abstractNum w:abstractNumId="13">
    <w:nsid w:val="481a501e"/>
    <w:multiLevelType w:val="hybridMultilevel"/>
    <w:tmpl w:val="93ca27ea"/>
    <w:lvl w:ilvl="0">
      <w:start w:val="2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4">
    <w:nsid w:val="48fa676d"/>
    <w:multiLevelType w:val="hybridMultilevel"/>
    <w:tmpl w:val="6fb29494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585c7fcf"/>
    <w:multiLevelType w:val="hybridMultilevel"/>
    <w:tmpl w:val="c9decd90"/>
    <w:lvl w:ilvl="0">
      <w:start w:val="8"/>
      <w:numFmt w:val="decimal"/>
      <w:suff w:val="tab"/>
      <w:lvlText w:val="%1.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6">
    <w:nsid w:val="593f0c28"/>
    <w:multiLevelType w:val="hybridMultilevel"/>
    <w:tmpl w:val="fd5ecc1c"/>
    <w:lvl w:ilvl="0">
      <w:start w:val="2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7">
    <w:nsid w:val="615139c0"/>
    <w:multiLevelType w:val="hybridMultilevel"/>
    <w:tmpl w:val="f9b0868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8">
    <w:nsid w:val="64071c5f"/>
    <w:multiLevelType w:val="hybridMultilevel"/>
    <w:tmpl w:val="0f963a78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9">
    <w:nsid w:val="6ddc5ee2"/>
    <w:multiLevelType w:val="hybridMultilevel"/>
    <w:tmpl w:val="96965d00"/>
    <w:lvl w:ilvl="0">
      <w:start w:val="2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0">
    <w:nsid w:val="7182520b"/>
    <w:multiLevelType w:val="hybridMultilevel"/>
    <w:tmpl w:val="f7c00574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1">
    <w:nsid w:val="73ae3230"/>
    <w:multiLevelType w:val="hybridMultilevel"/>
    <w:tmpl w:val="8604b6f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2">
    <w:nsid w:val="7e747f67"/>
    <w:multiLevelType w:val="hybridMultilevel"/>
    <w:tmpl w:val="12eeb4cc"/>
    <w:lvl w:ilvl="0">
      <w:start w:val="1"/>
      <w:numFmt w:val="decimal"/>
      <w:suff w:val="tab"/>
      <w:lvlText w:val="%1."/>
      <w:lvlJc w:val="left"/>
      <w:pPr>
        <w:pStyle w:val="Normal"/>
        <w:ind w:hanging="1140" w:left="8937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7"/>
  </w:num>
  <w:num w:numId="5">
    <w:abstractNumId w:val="8"/>
  </w:num>
  <w:num w:numId="6">
    <w:abstractNumId w:val="20"/>
  </w:num>
  <w:num w:numId="7">
    <w:abstractNumId w:val="9"/>
  </w:num>
  <w:num w:numId="8">
    <w:abstractNumId w:val="15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16"/>
  </w:num>
  <w:num w:numId="14">
    <w:abstractNumId w:val="22"/>
  </w:num>
  <w:num w:numId="15">
    <w:abstractNumId w:val="12"/>
  </w:num>
  <w:num w:numId="16">
    <w:abstractNumId w:val="18"/>
  </w:num>
  <w:num w:numId="17">
    <w:abstractNumId w:val="4"/>
  </w:num>
  <w:num w:numId="18">
    <w:abstractNumId w:val="1"/>
  </w:num>
  <w:num w:numId="19">
    <w:abstractNumId w:val="19"/>
  </w:num>
  <w:num w:numId="20">
    <w:abstractNumId w:val="2"/>
  </w:num>
  <w:num w:numId="21">
    <w:abstractNumId w:val="11"/>
  </w:num>
  <w:num w:numId="22">
    <w:abstractNumId w:val="0"/>
  </w:num>
  <w:num w:numId="23">
    <w:abstractNumId w:val="13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57a4d"/>
    <w:rsid w:val="00126d07"/>
    <w:rsid w:val="001b604b"/>
    <w:rsid w:val="0023092e"/>
    <w:rsid w:val="0026410f"/>
    <w:rsid w:val="00266761"/>
    <w:rsid w:val="00284384"/>
    <w:rsid w:val="002d1683"/>
    <w:rsid w:val="0033434a"/>
    <w:rsid w:val="003456d8"/>
    <w:rsid w:val="003900e1"/>
    <w:rsid w:val="004216fd"/>
    <w:rsid w:val="004508f3"/>
    <w:rsid w:val="004c6b5a"/>
    <w:rsid w:val="004d29c6"/>
    <w:rsid w:val="005b3bcc"/>
    <w:rsid w:val="00612892"/>
    <w:rsid w:val="006a6d56"/>
    <w:rsid w:val="006e698d"/>
    <w:rsid w:val="00770d1a"/>
    <w:rsid w:val="007e13a5"/>
    <w:rsid w:val="007e6301"/>
    <w:rsid w:val="008012d5"/>
    <w:rsid w:val="00912cbf"/>
    <w:rsid w:val="009457d5"/>
    <w:rsid w:val="00bd5050"/>
    <w:rsid w:val="00be4305"/>
    <w:rsid w:val="00c3549a"/>
    <w:rsid w:val="00c80bac"/>
    <w:rsid w:val="00ce598c"/>
    <w:rsid w:val="00d1000c"/>
    <w:rsid w:val="00d33263"/>
    <w:rsid w:val="00d558b0"/>
    <w:rsid w:val="00db4f51"/>
    <w:rsid w:val="00dd6305"/>
    <w:rsid w:val="00e31018"/>
    <w:rsid w:val="00e628fc"/>
    <w:rsid w:val="00ec62d4"/>
    <w:rsid w:val="00ef7e01"/>
    <w:rsid w:val="00f1165e"/>
    <w:rsid w:val="00f22b1f"/>
    <w:rsid w:val="00f73af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Heading1"/>
    <w:link w:val="StGen0"/>
    <w:pPr>
      <w:outlineLvl w:val="0"/>
      <w:spacing w:after="622"/>
    </w:pPr>
    <w:rPr>
      <w:b/>
      <w:sz w:val="46"/>
      <w:kern w:val="36"/>
      <w:bCs/>
      <w:szCs w:val="46"/>
      <w:color w:val="000000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">
    <w:name w:val="StGen1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2">
    <w:name w:val="StGen2"/>
    <w:next w:val="StGen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3">
    <w:name w:val="StGen3"/>
    <w:basedOn w:val="Normal"/>
    <w:next w:val="StGen3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5"/>
    <w:rPr>
      <w:sz w:val="16"/>
      <w:szCs w:val="16"/>
      <w:rFonts w:ascii="Tahoma" w:hAnsi="Tahoma"/>
    </w:rPr>
  </w:style>
  <w:style w:type="character" w:styleId="StGen5">
    <w:name w:val="StGen5"/>
    <w:next w:val="StGen5"/>
    <w:link w:val="Acetate"/>
    <w:rPr>
      <w:sz w:val="16"/>
      <w:szCs w:val="16"/>
      <w:rFonts w:ascii="Tahoma" w:hAnsi="Tahoma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0">
    <w:name w:val="StGen0"/>
    <w:next w:val="StGen0"/>
    <w:link w:val="Heading1"/>
    <w:rPr>
      <w:b/>
      <w:sz w:val="46"/>
      <w:kern w:val="36"/>
      <w:bCs/>
      <w:szCs w:val="46"/>
      <w:color w:val="000000"/>
    </w:rPr>
  </w:style>
  <w:style w:type="paragraph" w:styleId="Title">
    <w:name w:val="Title"/>
    <w:basedOn w:val="Normal"/>
    <w:next w:val="Title"/>
    <w:link w:val="StGen6"/>
    <w:pPr>
      <w:jc w:val="center"/>
    </w:pPr>
    <w:rPr>
      <w:b/>
      <w:sz w:val="32"/>
    </w:rPr>
  </w:style>
  <w:style w:type="character" w:styleId="StGen6">
    <w:name w:val="StGen6"/>
    <w:next w:val="StGen6"/>
    <w:link w:val="Title"/>
    <w:rPr>
      <w:b/>
      <w:sz w:val="32"/>
      <w:szCs w:val="24"/>
    </w:rPr>
  </w:style>
  <w:style w:type="paragraph" w:styleId="BodyTextIndent2">
    <w:name w:val="BodyTextIndent2"/>
    <w:basedOn w:val="Normal"/>
    <w:next w:val="BodyTextIndent2"/>
    <w:link w:val="StGen7"/>
    <w:pPr>
      <w:ind w:left="283"/>
      <w:spacing w:after="120" w:line="480" w:lineRule="auto"/>
    </w:pPr>
  </w:style>
  <w:style w:type="character" w:styleId="StGen7">
    <w:name w:val="StGen7"/>
    <w:next w:val="StGen7"/>
    <w:link w:val="BodyTextIndent2"/>
    <w:rPr>
      <w:sz w:val="24"/>
      <w:szCs w:val="24"/>
    </w:rPr>
  </w:style>
  <w:style w:type="paragraph" w:styleId="NavPane">
    <w:name w:val="NavPane"/>
    <w:basedOn w:val="Normal"/>
    <w:next w:val="NavPane"/>
    <w:link w:val="StGen8"/>
    <w:rPr>
      <w:sz w:val="16"/>
      <w:szCs w:val="16"/>
      <w:rFonts w:ascii="Tahoma" w:hAnsi="Tahoma"/>
    </w:rPr>
  </w:style>
  <w:style w:type="character" w:styleId="StGen8">
    <w:name w:val="StGen8"/>
    <w:next w:val="StGen8"/>
    <w:link w:val="NavPane"/>
    <w:rPr>
      <w:sz w:val="16"/>
      <w:szCs w:val="16"/>
      <w:rFonts w:ascii="Tahoma" w:hAnsi="Tahoma"/>
    </w:rPr>
  </w:style>
  <w:style w:type="character" w:styleId="StGen9">
    <w:name w:val="StGen9"/>
    <w:next w:val="StGen9"/>
    <w:link w:val="Normal"/>
    <w:rPr>
      <w:sz w:val="22"/>
      <w:szCs w:val="22"/>
      <w:rFonts w:ascii="Times New Roman" w:hAnsi="Times New Roman"/>
    </w:rPr>
  </w:style>
  <w:style w:type="paragraph" w:styleId="StGen10">
    <w:name w:val="StGen10"/>
    <w:next w:val="StGen10"/>
    <w:link w:val="Normal"/>
    <w:pPr>
      <w:autoSpaceDE w:val="off"/>
      <w:autoSpaceDN w:val="off"/>
    </w:pPr>
    <w:rPr>
      <w:b/>
      <w:sz w:val="28"/>
      <w:bCs/>
      <w:szCs w:val="28"/>
      <w:lang w:bidi="ar-SA" w:eastAsia="en-US" w:val="ru-RU"/>
      <w:rFonts w:eastAsia="Calibri"/>
    </w:rPr>
  </w:style>
  <w:style w:type="character" w:styleId="StGen11">
    <w:name w:val="StGen11"/>
    <w:next w:val="StGen11"/>
    <w:link w:val="Normal"/>
    <w:rPr>
      <w:sz w:val="22"/>
      <w:szCs w:val="22"/>
      <w:rFonts w:ascii="Times New Roman" w:hAnsi="Times New Roman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right="19772"/>
    </w:pPr>
    <w:rPr>
      <w:sz w:val="18"/>
      <w:szCs w:val="18"/>
      <w:lang w:bidi="ar-SA" w:eastAsia="ru-RU" w:val="ru-RU"/>
      <w:rFonts w:ascii="Courier New" w:hAnsi="Courier New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