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9958"/>
        <w:tblLook w:val="01e0"/>
        <w:tblW w:type="dxa" w:w="9958"/>
        <w:tblpPr w:horzAnchor="margin" w:leftFromText="181" w:rightFromText="181" w:tblpY="167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958"/>
      </w:tblGrid>
      <w:tr>
        <w:trPr>
          <w:trHeight w:hRule="atLeast" w:val="1303"/>
          <w:wAfter w:type="dxa" w:w="0"/>
          <w:trHeight w:hRule="atLeast" w:val="1303"/>
          <w:wAfter w:type="dxa" w:w="0"/>
        </w:trPr>
        <w:tc>
          <w:tcPr>
            <w:textDirection w:val="lrTb"/>
            <w:vAlign w:val="top"/>
            <w:tcW w:type="dxa" w:w="995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c483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67"/>
              <w:ind w:firstLine="0"/>
              <w:jc w:val="center"/>
            </w:pPr>
            <w:r w:rsidR="001c4833" w:rsidRPr="007c319e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529499999999999pt;" id="{7394DCD3-4234-43B8-BC38-4C931C18FACA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1c4833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trHeight w:hRule="atLeast" w:val="276"/>
          <w:wAfter w:type="dxa" w:w="0"/>
          <w:trHeight w:hRule="atLeast" w:val="276"/>
          <w:wAfter w:type="dxa" w:w="0"/>
        </w:trPr>
        <w:tc>
          <w:tcPr>
            <w:textDirection w:val="lrTb"/>
            <w:vAlign w:val="top"/>
            <w:tcW w:type="dxa" w:w="995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c483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67"/>
              <w:ind w:firstLine="0"/>
              <w:jc w:val="center"/>
            </w:pPr>
            <w:r w:rsidR="001c4833" w:rsidRPr="00f72c5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284"/>
          <w:wAfter w:type="dxa" w:w="0"/>
          <w:trHeight w:hRule="atLeast" w:val="284"/>
          <w:wAfter w:type="dxa" w:w="0"/>
        </w:trPr>
        <w:tc>
          <w:tcPr>
            <w:textDirection w:val="lrTb"/>
            <w:vAlign w:val="top"/>
            <w:tcW w:type="dxa" w:w="995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c483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67"/>
              <w:ind w:firstLine="0"/>
              <w:jc w:val="center"/>
            </w:pPr>
            <w:r w:rsidR="001c4833" w:rsidRPr="00f72c5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71"/>
          <w:wAfter w:type="dxa" w:w="0"/>
          <w:trHeight w:hRule="atLeast" w:val="71"/>
          <w:wAfter w:type="dxa" w:w="0"/>
        </w:trPr>
        <w:tc>
          <w:tcPr>
            <w:textDirection w:val="lrTb"/>
            <w:vAlign w:val="top"/>
            <w:tcW w:type="dxa" w:w="995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c4833">
            <w:pPr>
              <w:pStyle w:val="Normal"/>
              <w:rPr>
                <w:sz w:val="16"/>
                <w:szCs w:val="16"/>
              </w:rPr>
              <w:framePr w:hAnchor="margin" w:hSpace="181" w:vAnchor="text" w:wrap="around" w:y="167"/>
              <w:jc w:val="center"/>
            </w:pPr>
            <w:r w:rsidR="001c4833" w:rsidRPr="0013352b">
              <w:rPr>
                <w:sz w:val="16"/>
                <w:szCs w:val="16"/>
                <w:noProof/>
              </w:rPr>
              <w:pict>
                <v:line id="_x0000_s1029" type="#_x0000_t20" style="position:absolute;mso-position-vertical-relative:page;" from="-5.5pt,4.0499999999999998pt" to="486.64999999999998pt,4.0499999999999998pt" strokeweight="63500">
                  <v:stroke linestyle="thickThin"/>
                </v:line>
              </w:pict>
            </w:r>
            <w:r w:rsidR="001c4833" w:rsidRPr="0013352b">
              <w:rPr>
                <w:sz w:val="16"/>
                <w:szCs w:val="16"/>
              </w:rPr>
            </w:r>
          </w:p>
        </w:tc>
      </w:tr>
    </w:tbl>
    <w:p w:rsidP="00c92d0f">
      <w:pPr>
        <w:pStyle w:val="Normal"/>
        <w:rPr>
          <w:sz w:val="28"/>
          <w:szCs w:val="28"/>
        </w:rPr>
        <w:ind w:firstLine="0"/>
        <w:jc w:val="center"/>
      </w:pPr>
      <w:r w:rsidR="005e380c">
        <w:rPr>
          <w:sz w:val="28"/>
          <w:szCs w:val="28"/>
        </w:rPr>
      </w:r>
    </w:p>
    <w:p w:rsidP="00c92d0f">
      <w:pPr>
        <w:pStyle w:val="Normal"/>
        <w:rPr>
          <w:b/>
          <w:sz w:val="36"/>
          <w:szCs w:val="36"/>
        </w:rPr>
        <w:ind w:firstLine="0"/>
        <w:jc w:val="center"/>
      </w:pPr>
      <w:r w:rsidR="008f4581" w:rsidRPr="00177a35">
        <w:rPr>
          <w:b/>
          <w:sz w:val="36"/>
          <w:szCs w:val="36"/>
        </w:rPr>
        <w:t xml:space="preserve">РЕШЕНИЕ</w:t>
      </w:r>
    </w:p>
    <w:p w:rsidP="001c4833">
      <w:pPr>
        <w:pStyle w:val="BodyText"/>
        <w:rPr>
          <w:b/>
          <w:sz w:val="28"/>
          <w:szCs w:val="28"/>
          <w:lang w:val="ru-RU"/>
        </w:rPr>
        <w:ind w:firstLine="0"/>
        <w:spacing w:line="216" w:lineRule="auto"/>
      </w:pPr>
      <w:r w:rsidR="008f4581" w:rsidRPr="008f4581">
        <w:rPr>
          <w:b/>
          <w:sz w:val="28"/>
          <w:szCs w:val="28"/>
          <w:lang w:val="ru-RU"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c>
          <w:tcPr>
            <w:textDirection w:val="lrTb"/>
            <w:vAlign w:val="top"/>
            <w:tcW w:type="dxa" w:w="351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1c4833">
            <w:pPr>
              <w:pStyle w:val="BodyText"/>
              <w:rPr>
                <w:lang w:eastAsia="ru-RU" w:val="ru-RU"/>
              </w:rPr>
              <w:widowControl w:val="off"/>
              <w:autoSpaceDE w:val="off"/>
              <w:autoSpaceDN w:val="off"/>
              <w:ind w:firstLine="0" w:left="-108"/>
              <w:spacing w:after="40" w:before="40" w:line="216" w:lineRule="auto"/>
            </w:pPr>
            <w:r w:rsidR="00e21acb">
              <w:t xml:space="preserve">от </w:t>
            </w:r>
            <w:r w:rsidR="001c4833">
              <w:rPr>
                <w:lang w:val="ru-RU"/>
              </w:rPr>
              <w:t xml:space="preserve">25.03.2015</w:t>
            </w:r>
            <w:r w:rsidR="00e21acb">
              <w:t xml:space="preserve"> </w:t>
            </w:r>
            <w:r w:rsidR="00e21acb" w:rsidRPr="007c3ad0">
              <w:t xml:space="preserve">№</w:t>
            </w:r>
            <w:r w:rsidR="00e21acb">
              <w:t xml:space="preserve"> </w:t>
            </w:r>
            <w:r w:rsidR="001c4833">
              <w:rPr>
                <w:lang w:val="ru-RU"/>
              </w:rPr>
              <w:t xml:space="preserve">719</w:t>
            </w:r>
            <w:r w:rsidR="00e21acb">
              <w:t xml:space="preserve">-р</w:t>
            </w:r>
            <w:r w:rsidR="00834e52" w:rsidRPr="007c4c93">
              <w:rPr>
                <w:lang w:eastAsia="ru-RU" w:val="ru-RU"/>
              </w:rPr>
            </w:r>
          </w:p>
        </w:tc>
      </w:tr>
      <w:t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1c4833">
            <w:pPr>
              <w:pStyle w:val="BodyText"/>
              <w:rPr>
                <w:lang w:eastAsia="ru-RU" w:val="ru-RU"/>
              </w:rPr>
              <w:widowControl w:val="off"/>
              <w:autoSpaceDE w:val="off"/>
              <w:autoSpaceDN w:val="off"/>
              <w:ind w:firstLine="0" w:left="-108"/>
              <w:spacing w:after="40" w:before="40" w:line="216" w:lineRule="auto"/>
            </w:pPr>
            <w:r w:rsidR="001c4833">
              <w:rPr>
                <w:lang w:eastAsia="ru-RU" w:val="ru-RU"/>
              </w:rPr>
              <w:t xml:space="preserve">29-я (внеочередная)</w:t>
            </w:r>
            <w:r w:rsidR="00834e52" w:rsidRPr="007c4c93">
              <w:rPr>
                <w:lang w:eastAsia="ru-RU" w:val="ru-RU"/>
              </w:rPr>
              <w:t xml:space="preserve"> сессия</w:t>
            </w:r>
          </w:p>
        </w:tc>
      </w:tr>
      <w:t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e21acb">
            <w:pPr>
              <w:pStyle w:val="BodyText"/>
              <w:rPr>
                <w:sz w:val="22"/>
                <w:szCs w:val="22"/>
                <w:lang w:eastAsia="ru-RU" w:val="ru-RU"/>
              </w:rPr>
              <w:widowControl w:val="off"/>
              <w:autoSpaceDE w:val="off"/>
              <w:autoSpaceDN w:val="off"/>
              <w:ind w:firstLine="0" w:left="-108"/>
              <w:spacing w:after="40" w:before="40" w:line="216" w:lineRule="auto"/>
            </w:pPr>
            <w:r w:rsidR="00834e52" w:rsidRPr="00e21acb">
              <w:rPr>
                <w:sz w:val="22"/>
                <w:szCs w:val="22"/>
                <w:lang w:eastAsia="ru-RU" w:val="ru-RU"/>
              </w:rPr>
              <w:t xml:space="preserve">г.Петропавловск-Камчатский</w:t>
            </w:r>
          </w:p>
        </w:tc>
      </w:tr>
    </w:tbl>
    <w:p w:rsidP="00e21acb">
      <w:pPr>
        <w:pStyle w:val="BodyText"/>
        <w:rPr>
          <w:b/>
          <w:sz w:val="28"/>
          <w:szCs w:val="28"/>
          <w:lang w:val="ru-RU"/>
        </w:rPr>
        <w:ind w:firstLine="0"/>
        <w:spacing w:line="216" w:lineRule="auto"/>
        <w:jc w:val="both"/>
      </w:pPr>
      <w:r w:rsidR="00834e52">
        <w:rPr>
          <w:b/>
          <w:sz w:val="28"/>
          <w:szCs w:val="28"/>
          <w:lang w:val="ru-RU"/>
        </w:rPr>
      </w:r>
    </w:p>
    <w:tbl>
      <w:tblPr>
        <w:tblW w:type="auto" w:w="0"/>
        <w:tblLook w:val="04a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503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50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f16a9">
            <w:pPr>
              <w:pStyle w:val="BodyText"/>
              <w:rPr>
                <w:sz w:val="28"/>
                <w:szCs w:val="28"/>
                <w:lang w:val="ru-RU"/>
              </w:rPr>
              <w:tabs>
                <w:tab w:leader="none" w:pos="3375" w:val="left"/>
              </w:tabs>
              <w:ind w:firstLine="0"/>
              <w:jc w:val="both"/>
            </w:pPr>
            <w:r w:rsidR="00940724">
              <w:rPr>
                <w:sz w:val="28"/>
                <w:szCs w:val="28"/>
                <w:rFonts w:eastAsia="Calibri"/>
              </w:rPr>
              <w:t xml:space="preserve">О</w:t>
            </w:r>
            <w:r w:rsidR="0013352b" w:rsidRPr="0013352b">
              <w:rPr>
                <w:sz w:val="28"/>
                <w:szCs w:val="28"/>
                <w:rFonts w:eastAsia="Calibri"/>
              </w:rPr>
              <w:t xml:space="preserve"> </w:t>
            </w:r>
            <w:r w:rsidR="00e70256">
              <w:rPr>
                <w:sz w:val="28"/>
                <w:szCs w:val="28"/>
                <w:lang w:val="ru-RU"/>
                <w:rFonts w:eastAsia="Calibri"/>
              </w:rPr>
              <w:t xml:space="preserve">приостановлении действия</w:t>
            </w:r>
            <w:r w:rsidR="00133690">
              <w:rPr>
                <w:sz w:val="28"/>
                <w:szCs w:val="28"/>
                <w:lang w:val="ru-RU"/>
                <w:rFonts w:eastAsia="Calibri"/>
              </w:rPr>
              <w:t xml:space="preserve"> отдельных </w:t>
            </w:r>
            <w:r w:rsidR="0013352b" w:rsidRPr="0013352b">
              <w:rPr>
                <w:sz w:val="28"/>
                <w:szCs w:val="28"/>
                <w:rFonts w:eastAsia="Calibri"/>
              </w:rPr>
              <w:t xml:space="preserve">решени</w:t>
            </w:r>
            <w:r w:rsidR="00e70256">
              <w:rPr>
                <w:sz w:val="28"/>
                <w:szCs w:val="28"/>
                <w:lang w:val="ru-RU"/>
                <w:rFonts w:eastAsia="Calibri"/>
              </w:rPr>
              <w:t xml:space="preserve">й</w:t>
            </w:r>
            <w:r w:rsidR="0013352b" w:rsidRPr="0013352b">
              <w:rPr>
                <w:sz w:val="28"/>
                <w:szCs w:val="28"/>
                <w:rFonts w:eastAsia="Calibri"/>
              </w:rPr>
              <w:t xml:space="preserve"> Городской Думы Петропавловск-Камчатского городского округа</w:t>
            </w:r>
            <w:r w:rsidR="008f440a" w:rsidRPr="0013352b">
              <w:rPr>
                <w:sz w:val="28"/>
                <w:szCs w:val="28"/>
                <w:lang w:val="ru-RU"/>
              </w:rPr>
            </w:r>
          </w:p>
        </w:tc>
      </w:tr>
    </w:tbl>
    <w:p w:rsidP="00837f0d">
      <w:pPr>
        <w:pStyle w:val="BodyText"/>
        <w:rPr>
          <w:b/>
          <w:sz w:val="28"/>
          <w:szCs w:val="28"/>
          <w:lang w:val="ru-RU"/>
        </w:rPr>
        <w:ind w:firstLine="0"/>
        <w:jc w:val="both"/>
      </w:pPr>
      <w:r w:rsidR="008f440a">
        <w:rPr>
          <w:b/>
          <w:sz w:val="28"/>
          <w:szCs w:val="28"/>
          <w:lang w:val="ru-RU"/>
        </w:rPr>
      </w:r>
    </w:p>
    <w:p w:rsidP="00e70256">
      <w:pPr>
        <w:pStyle w:val="StGen3"/>
        <w:rPr>
          <w:sz w:val="28"/>
          <w:szCs w:val="28"/>
          <w:rFonts w:ascii="Times New Roman" w:hAnsi="Times New Roman"/>
        </w:rPr>
        <w:ind w:firstLine="708"/>
      </w:pPr>
      <w:r w:rsidR="00e70256">
        <w:rPr>
          <w:sz w:val="28"/>
          <w:szCs w:val="28"/>
          <w:rFonts w:ascii="Times New Roman" w:hAnsi="Times New Roman"/>
        </w:rPr>
        <w:t xml:space="preserve">В соответствии со статьей 48</w:t>
      </w:r>
      <w:r w:rsidR="00e0486f">
        <w:rPr>
          <w:sz w:val="28"/>
          <w:szCs w:val="28"/>
          <w:rFonts w:ascii="Times New Roman" w:hAnsi="Times New Roman"/>
        </w:rPr>
        <w:t xml:space="preserve"> </w:t>
      </w:r>
      <w:r w:rsidR="00e70256">
        <w:rPr>
          <w:sz w:val="28"/>
          <w:szCs w:val="28"/>
          <w:rFonts w:ascii="Times New Roman" w:hAnsi="Times New Roman"/>
        </w:rPr>
        <w:t xml:space="preserve">Федерального закона от 06.10.2003 № 131-ФЗ «Об общих принц</w:t>
      </w:r>
      <w:r w:rsidR="00940724">
        <w:rPr>
          <w:sz w:val="28"/>
          <w:szCs w:val="28"/>
          <w:rFonts w:ascii="Times New Roman" w:hAnsi="Times New Roman"/>
        </w:rPr>
        <w:t xml:space="preserve">и</w:t>
      </w:r>
      <w:r w:rsidR="00e70256">
        <w:rPr>
          <w:sz w:val="28"/>
          <w:szCs w:val="28"/>
          <w:rFonts w:ascii="Times New Roman" w:hAnsi="Times New Roman"/>
        </w:rPr>
        <w:t xml:space="preserve">пах организации </w:t>
      </w:r>
      <w:r w:rsidR="00940724" w:rsidRPr="00940724">
        <w:rPr>
          <w:sz w:val="28"/>
          <w:szCs w:val="28"/>
          <w:rFonts w:ascii="Times New Roman" w:hAnsi="Times New Roman"/>
        </w:rPr>
        <w:t xml:space="preserve">местного самоуправления в Российской Федерации</w:t>
      </w:r>
      <w:r w:rsidR="00940724">
        <w:rPr>
          <w:sz w:val="28"/>
          <w:szCs w:val="28"/>
          <w:rFonts w:ascii="Times New Roman" w:hAnsi="Times New Roman"/>
        </w:rPr>
        <w:t xml:space="preserve">»</w:t>
      </w:r>
      <w:r w:rsidR="00e0486f">
        <w:rPr>
          <w:sz w:val="28"/>
          <w:szCs w:val="28"/>
        </w:rPr>
        <w:t xml:space="preserve">, </w:t>
      </w:r>
      <w:r w:rsidR="00e0486f" w:rsidRPr="00e0486f">
        <w:rPr>
          <w:sz w:val="28"/>
          <w:szCs w:val="28"/>
          <w:rFonts w:ascii="Times New Roman" w:hAnsi="Times New Roman"/>
        </w:rPr>
        <w:t xml:space="preserve">частью 12 статьи 59 Устава Петропавловск-Камчатского городского округа</w:t>
      </w:r>
      <w:r w:rsidR="00c56ddf">
        <w:rPr>
          <w:sz w:val="28"/>
          <w:szCs w:val="28"/>
          <w:rFonts w:ascii="Times New Roman" w:hAnsi="Times New Roman"/>
        </w:rPr>
        <w:t xml:space="preserve">,</w:t>
      </w:r>
      <w:r w:rsidR="00e70256" w:rsidRPr="00e0486f">
        <w:rPr>
          <w:sz w:val="28"/>
          <w:szCs w:val="28"/>
          <w:rFonts w:ascii="Times New Roman" w:hAnsi="Times New Roman"/>
        </w:rPr>
        <w:t xml:space="preserve"> </w:t>
      </w:r>
      <w:r w:rsidR="00e70256" w:rsidRPr="00f30bda">
        <w:rPr>
          <w:sz w:val="28"/>
          <w:szCs w:val="28"/>
          <w:rFonts w:ascii="Times New Roman" w:hAnsi="Times New Roman"/>
        </w:rPr>
        <w:t xml:space="preserve">Городская Дума Петропавловск-Камчатского городского округа </w:t>
      </w:r>
      <w:r w:rsidR="00e70256" w:rsidRPr="00f84e26">
        <w:rPr>
          <w:sz w:val="28"/>
          <w:szCs w:val="28"/>
          <w:rFonts w:ascii="Times New Roman" w:hAnsi="Times New Roman"/>
        </w:rPr>
      </w:r>
    </w:p>
    <w:p w:rsidP="00837f0d">
      <w:pPr>
        <w:pStyle w:val="Normal"/>
        <w:rPr>
          <w:sz w:val="28"/>
          <w:szCs w:val="28"/>
        </w:rPr>
        <w:ind w:firstLine="0" w:right="-5"/>
      </w:pPr>
      <w:r w:rsidR="00dc3e28" w:rsidRPr="00f30bda">
        <w:rPr>
          <w:sz w:val="28"/>
          <w:szCs w:val="28"/>
        </w:rPr>
      </w:r>
    </w:p>
    <w:p w:rsidP="00cb4de1">
      <w:pPr>
        <w:pStyle w:val="Normal"/>
        <w:rPr>
          <w:b/>
          <w:sz w:val="28"/>
          <w:szCs w:val="28"/>
        </w:rPr>
        <w:ind w:firstLine="0" w:right="-5"/>
      </w:pPr>
      <w:r w:rsidR="0086409e" w:rsidRPr="00f30bda">
        <w:rPr>
          <w:b/>
          <w:sz w:val="28"/>
          <w:szCs w:val="28"/>
        </w:rPr>
        <w:t xml:space="preserve">РЕШИЛА:</w:t>
      </w:r>
    </w:p>
    <w:p w:rsidP="00837f0d">
      <w:pPr>
        <w:pStyle w:val="Normal"/>
        <w:rPr>
          <w:sz w:val="28"/>
          <w:szCs w:val="28"/>
        </w:rPr>
        <w:widowControl w:val="off"/>
        <w:ind w:firstLine="0"/>
      </w:pPr>
      <w:r w:rsidR="00dc3e28" w:rsidRPr="00f30bda">
        <w:rPr>
          <w:sz w:val="28"/>
          <w:szCs w:val="28"/>
        </w:rPr>
      </w:r>
    </w:p>
    <w:p w:rsidP="00037a3b">
      <w:pPr>
        <w:pStyle w:val="Heading1"/>
        <w:rPr>
          <w:b w:val="false"/>
          <w:sz w:val="28"/>
          <w:szCs w:val="28"/>
          <w:rFonts w:ascii="Times New Roman" w:eastAsia="Calibri" w:hAnsi="Times New Roman"/>
        </w:rPr>
        <w:ind w:firstLine="708"/>
        <w:spacing w:after="0" w:before="0"/>
      </w:pPr>
      <w:r w:rsidR="009e4564" w:rsidRPr="00873b77">
        <w:rPr>
          <w:b w:val="false"/>
          <w:sz w:val="28"/>
          <w:szCs w:val="28"/>
          <w:rFonts w:ascii="Times New Roman" w:eastAsia="Calibri" w:hAnsi="Times New Roman"/>
        </w:rPr>
        <w:t xml:space="preserve">1. </w:t>
      </w:r>
      <w:r w:rsidR="00940724">
        <w:rPr>
          <w:b w:val="false"/>
          <w:sz w:val="28"/>
          <w:szCs w:val="28"/>
          <w:rFonts w:ascii="Times New Roman" w:eastAsia="Calibri" w:hAnsi="Times New Roman"/>
        </w:rPr>
        <w:t xml:space="preserve">Приостановить до 01.10.2015 действие:</w:t>
      </w:r>
      <w:r w:rsidR="00664e72">
        <w:rPr>
          <w:b w:val="false"/>
          <w:sz w:val="28"/>
          <w:szCs w:val="28"/>
          <w:rFonts w:ascii="Times New Roman" w:eastAsia="Calibri" w:hAnsi="Times New Roman"/>
        </w:rPr>
      </w:r>
    </w:p>
    <w:p w:rsidP="00940724">
      <w:pPr>
        <w:pStyle w:val="Normal"/>
        <w:rPr>
          <w:sz w:val="28"/>
          <w:szCs w:val="28"/>
        </w:rPr>
        <w:ind w:firstLine="709"/>
      </w:pPr>
      <w:r w:rsidR="00940724" w:rsidRPr="00133690">
        <w:rPr>
          <w:sz w:val="28"/>
          <w:szCs w:val="28"/>
        </w:rPr>
        <w:t xml:space="preserve">1) решения Городской Думы Петропавловск-Камчатского городского округа</w:t>
      </w:r>
      <w:r w:rsidR="00133690" w:rsidRPr="00133690">
        <w:rPr>
          <w:sz w:val="28"/>
          <w:szCs w:val="28"/>
        </w:rPr>
        <w:t xml:space="preserve"> от 28.01.2015 № 655-р «О реорганизации Управления по взаимодействию с субъектами малого и среднего предпринимательства администрации Петропавловск-Камчатского городского округа без изменения типа – казенное учреждение в форме присоединения к нему Управления экономики администрации Петропавловск-Камчатского городского округа и о внесении изменений в Положение об Управлении по взаимодействию с субъектами малого и среднего предпринимательства администрации Петропавловск-Камчатского городского округа, утвержденное решением Городской Думы Петропавловск-Камчатского городского округа от 23.12.2009 № 664-р»;</w:t>
      </w:r>
    </w:p>
    <w:p w:rsidP="00133690">
      <w:pPr>
        <w:pStyle w:val="Normal"/>
        <w:rPr>
          <w:sz w:val="28"/>
          <w:szCs w:val="28"/>
        </w:rPr>
        <w:ind w:firstLine="709"/>
      </w:pPr>
      <w:r w:rsidR="00e0486f">
        <w:rPr>
          <w:sz w:val="28"/>
          <w:szCs w:val="28"/>
        </w:rPr>
        <w:t xml:space="preserve">2</w:t>
      </w:r>
      <w:r w:rsidR="00133690" w:rsidRPr="00133690">
        <w:rPr>
          <w:sz w:val="28"/>
          <w:szCs w:val="28"/>
        </w:rPr>
        <w:t xml:space="preserve">) решения Городской Думы Петропавловск-Камчатского городского округа от 28.01</w:t>
      </w:r>
      <w:r w:rsidR="00133690" w:rsidRPr="00133690">
        <w:rPr>
          <w:sz w:val="28"/>
          <w:szCs w:val="28"/>
        </w:rPr>
        <w:t xml:space="preserve">.2015 № 656-р «О реорганизации Департамента градостроительства и земельных отношений администрации Петропавловск-Камчатского городского округа без изменения типа – казенное учреждение в форме присоединения к нему Комитета по управлению имуществом администрации Петропавловск-Камчатского городского округа и о внесении изменений в Положение о Департаменте градостроительства и земельных отношений администрации Петропавловск-Камчатского городского округа, утвержденное решением Городской Думы Петропавловск-Камчатского городского округа от 24.06.2009 № 515-р»;</w:t>
      </w:r>
    </w:p>
    <w:p w:rsidP="00133690">
      <w:pPr>
        <w:pStyle w:val="Normal"/>
        <w:rPr>
          <w:sz w:val="28"/>
          <w:szCs w:val="28"/>
        </w:rPr>
        <w:ind w:firstLine="709"/>
      </w:pPr>
      <w:r w:rsidR="00e0486f">
        <w:rPr>
          <w:sz w:val="28"/>
          <w:szCs w:val="28"/>
        </w:rPr>
        <w:t xml:space="preserve">3</w:t>
      </w:r>
      <w:r w:rsidR="00133690" w:rsidRPr="00133690">
        <w:rPr>
          <w:sz w:val="28"/>
          <w:szCs w:val="28"/>
        </w:rPr>
        <w:t xml:space="preserve">) решения Городской Думы Петропавловск-Камчатского городского округа от 28.01.2015 № 657-р «О реорганизации Департамента социального развития администрации Петропавловск-Камчатского городского округа без изменения типа – казенное учреждение в форме присоединения к нему Управления культуры, спорта и молодежной политики администрации Петропавловск-Камчатского городского округа и о внесении изменений в Положение о Департаменте социального развития администрации Петропавловск-Камчатского городского округа, утвержденное решением Петропавловск-Камчатской Городской Думы </w:t>
      </w:r>
      <w:r w:rsidR="00ae232a">
        <w:rPr>
          <w:sz w:val="28"/>
          <w:szCs w:val="28"/>
        </w:rPr>
        <w:br w:clear="all" w:type="textWrapping"/>
      </w:r>
      <w:r w:rsidR="00133690" w:rsidRPr="00133690">
        <w:rPr>
          <w:sz w:val="28"/>
          <w:szCs w:val="28"/>
        </w:rPr>
        <w:t xml:space="preserve">от 29.12.2005 № 269-р»</w:t>
      </w:r>
      <w:r w:rsidR="00133690">
        <w:rPr>
          <w:sz w:val="28"/>
          <w:szCs w:val="28"/>
        </w:rPr>
        <w:t xml:space="preserve">.</w:t>
      </w:r>
      <w:r w:rsidR="00133690" w:rsidRPr="00133690">
        <w:rPr>
          <w:sz w:val="28"/>
          <w:szCs w:val="28"/>
        </w:rPr>
      </w:r>
    </w:p>
    <w:p w:rsidP="00133690">
      <w:pPr>
        <w:pStyle w:val="Normal"/>
        <w:rPr>
          <w:sz w:val="28"/>
          <w:szCs w:val="28"/>
          <w:rFonts w:eastAsia="Calibri"/>
        </w:rPr>
        <w:ind w:firstLine="709"/>
      </w:pPr>
      <w:r w:rsidR="00940724" w:rsidRPr="00133690">
        <w:rPr>
          <w:sz w:val="28"/>
          <w:szCs w:val="28"/>
          <w:rFonts w:eastAsia="Calibri"/>
        </w:rPr>
        <w:t xml:space="preserve">2</w:t>
      </w:r>
      <w:r w:rsidR="006c2071" w:rsidRPr="00133690">
        <w:rPr>
          <w:sz w:val="28"/>
          <w:szCs w:val="28"/>
          <w:rFonts w:eastAsia="Calibri"/>
        </w:rPr>
        <w:t xml:space="preserve">. </w:t>
      </w:r>
      <w:r w:rsidR="00187942" w:rsidRPr="00133690">
        <w:rPr>
          <w:sz w:val="28"/>
          <w:szCs w:val="28"/>
          <w:rFonts w:eastAsia="Calibri"/>
        </w:rPr>
        <w:t xml:space="preserve">Наст</w:t>
      </w:r>
      <w:r w:rsidR="00940724" w:rsidRPr="00133690">
        <w:rPr>
          <w:sz w:val="28"/>
          <w:szCs w:val="28"/>
          <w:rFonts w:eastAsia="Calibri"/>
        </w:rPr>
        <w:t xml:space="preserve">оящее решение вступает в силу с</w:t>
      </w:r>
      <w:r w:rsidR="001c4833">
        <w:rPr>
          <w:sz w:val="28"/>
          <w:szCs w:val="28"/>
          <w:rFonts w:eastAsia="Calibri"/>
        </w:rPr>
        <w:t xml:space="preserve">о</w:t>
      </w:r>
      <w:r w:rsidR="00940724" w:rsidRPr="00133690">
        <w:rPr>
          <w:sz w:val="28"/>
          <w:szCs w:val="28"/>
          <w:rFonts w:eastAsia="Calibri"/>
        </w:rPr>
        <w:t xml:space="preserve"> </w:t>
      </w:r>
      <w:r w:rsidR="001c4833">
        <w:rPr>
          <w:sz w:val="28"/>
          <w:szCs w:val="28"/>
          <w:rFonts w:eastAsia="Calibri"/>
        </w:rPr>
        <w:t xml:space="preserve">дня его подписания</w:t>
      </w:r>
      <w:r w:rsidR="00187942" w:rsidRPr="00133690">
        <w:rPr>
          <w:sz w:val="28"/>
          <w:szCs w:val="28"/>
          <w:rFonts w:eastAsia="Calibri"/>
        </w:rPr>
        <w:t xml:space="preserve">.</w:t>
      </w:r>
      <w:r w:rsidR="00545e07" w:rsidRPr="00133690">
        <w:rPr>
          <w:sz w:val="28"/>
          <w:szCs w:val="28"/>
          <w:rFonts w:eastAsia="Calibri"/>
        </w:rPr>
      </w:r>
    </w:p>
    <w:p w:rsidP="003f714f">
      <w:pPr>
        <w:pStyle w:val="Normal"/>
        <w:rPr>
          <w:sz w:val="28"/>
          <w:szCs w:val="28"/>
        </w:rPr>
        <w:autoSpaceDE w:val="off"/>
        <w:autoSpaceDN w:val="off"/>
        <w:ind w:firstLine="0"/>
        <w:spacing w:line="20" w:lineRule="atLeast"/>
      </w:pPr>
      <w:r w:rsidR="00856fe6">
        <w:rPr>
          <w:sz w:val="28"/>
          <w:szCs w:val="28"/>
        </w:rPr>
      </w:r>
    </w:p>
    <w:p w:rsidP="00b63354">
      <w:pPr>
        <w:pStyle w:val="Normal"/>
        <w:rPr>
          <w:sz w:val="28"/>
          <w:szCs w:val="28"/>
        </w:rPr>
        <w:autoSpaceDE w:val="off"/>
        <w:autoSpaceDN w:val="off"/>
        <w:ind w:firstLine="0"/>
        <w:spacing w:line="20" w:lineRule="atLeast"/>
      </w:pPr>
      <w:r w:rsidR="00f30bda" w:rsidRPr="00153ff7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268"/>
        <w:gridCol w:w="3260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b111e">
            <w:pPr>
              <w:pStyle w:val="Normal"/>
              <w:rPr>
                <w:sz w:val="28"/>
                <w:szCs w:val="28"/>
              </w:rPr>
              <w:ind w:firstLine="0"/>
              <w:spacing w:line="20" w:lineRule="atLeast"/>
            </w:pPr>
            <w:r w:rsidR="00834c94" w:rsidRPr="00834c94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22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center"/>
            </w:pPr>
            <w:r w:rsidR="00834c94" w:rsidRPr="00834c9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2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right"/>
            </w:pPr>
            <w:r w:rsidR="00834c94" w:rsidRPr="00834c94">
              <w:rPr>
                <w:sz w:val="28"/>
                <w:szCs w:val="28"/>
              </w:rPr>
            </w:r>
          </w:p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right"/>
            </w:pPr>
            <w:r w:rsidR="00834c94" w:rsidRPr="00834c94">
              <w:rPr>
                <w:sz w:val="28"/>
                <w:szCs w:val="28"/>
              </w:rPr>
            </w:r>
          </w:p>
          <w:p w:rsidP="0060600d">
            <w:pPr>
              <w:pStyle w:val="Normal"/>
              <w:rPr>
                <w:sz w:val="28"/>
                <w:szCs w:val="28"/>
              </w:rPr>
              <w:tabs>
                <w:tab w:leader="none" w:pos="2585" w:val="left"/>
              </w:tabs>
              <w:ind w:right="34"/>
              <w:spacing w:line="20" w:lineRule="atLeast"/>
              <w:jc w:val="right"/>
            </w:pPr>
            <w:r w:rsidR="001a2615">
              <w:rPr>
                <w:sz w:val="28"/>
                <w:szCs w:val="28"/>
              </w:rPr>
            </w:r>
          </w:p>
          <w:p w:rsidP="00e3797a">
            <w:pPr>
              <w:pStyle w:val="Normal"/>
              <w:rPr>
                <w:sz w:val="28"/>
                <w:szCs w:val="28"/>
              </w:rPr>
              <w:ind w:right="-108"/>
              <w:spacing w:line="20" w:lineRule="atLeast"/>
              <w:jc w:val="right"/>
            </w:pPr>
            <w:r w:rsidR="0026687c">
              <w:rPr>
                <w:sz w:val="28"/>
                <w:szCs w:val="28"/>
              </w:rPr>
              <w:t xml:space="preserve">К.Г.</w:t>
            </w:r>
            <w:r w:rsidR="00e21acb">
              <w:rPr>
                <w:sz w:val="28"/>
                <w:szCs w:val="28"/>
              </w:rPr>
              <w:t xml:space="preserve"> </w:t>
            </w:r>
            <w:r w:rsidR="0026687c">
              <w:rPr>
                <w:sz w:val="28"/>
                <w:szCs w:val="28"/>
              </w:rPr>
              <w:t xml:space="preserve">Слыщенко</w:t>
            </w:r>
            <w:r w:rsidR="00834c94" w:rsidRPr="00834c94">
              <w:rPr>
                <w:sz w:val="28"/>
                <w:szCs w:val="28"/>
              </w:rPr>
            </w:r>
          </w:p>
        </w:tc>
      </w:tr>
    </w:tbl>
    <w:p w:rsidP="00873b77">
      <w:pPr>
        <w:pStyle w:val="Normal"/>
        <w:rPr>
          <w:b/>
        </w:rPr>
        <w:jc w:val="center"/>
      </w:pPr>
      <w:r w:rsidR="00873b77">
        <w:rPr>
          <w:b/>
        </w:rPr>
      </w:r>
    </w:p>
    <w:sectPr>
      <w:type w:val="nextPage"/>
      <w:pgSz w:h="16838" w:w="11905"/>
      <w:pgMar w:bottom="567" w:footer="720" w:gutter="0" w:header="720" w:left="1134" w:right="567" w:top="567"/>
      <w:cols w:space="720"/>
      <w:docGrid w:linePitch="326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0073fab"/>
    <w:multiLevelType w:val="hybridMultilevel"/>
    <w:tmpl w:val="7ca66864"/>
    <w:lvl w:ilvl="0">
      <w:start w:val="1"/>
      <w:numFmt w:val="decimal"/>
      <w:suff w:val="tab"/>
      <w:lvlText w:val="%1."/>
      <w:lvlJc w:val="left"/>
      <w:pPr>
        <w:pStyle w:val="Normal"/>
        <w:ind w:hanging="675" w:left="135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5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47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19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1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3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5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07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795"/>
      </w:pPr>
    </w:lvl>
  </w:abstractNum>
  <w:abstractNum w:abstractNumId="1">
    <w:nsid w:val="064d6ca0"/>
    <w:multiLevelType w:val="hybridMultilevel"/>
    <w:tmpl w:val="8850df5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2">
    <w:nsid w:val="35cd2e1f"/>
    <w:multiLevelType w:val="hybridMultilevel"/>
    <w:tmpl w:val="6d747d3e"/>
    <w:lvl w:ilvl="0">
      <w:start w:val="1"/>
      <w:numFmt w:val="decimal"/>
      <w:suff w:val="tab"/>
      <w:lvlText w:val="3.1.%1"/>
      <w:lvlJc w:val="left"/>
      <w:pPr>
        <w:pStyle w:val="Normal"/>
        <w:tabs>
          <w:tab w:leader="none" w:pos="1134" w:val="num"/>
        </w:tabs>
        <w:ind w:firstLine="709" w:left="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</w:abstractNum>
  <w:abstractNum w:abstractNumId="3">
    <w:nsid w:val="5de01784"/>
    <w:multiLevelType w:val="hybridMultilevel"/>
    <w:tmpl w:val="95aec068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4">
    <w:nsid w:val="67f60c67"/>
    <w:multiLevelType w:val="hybridMultilevel"/>
    <w:tmpl w:val="6a28f502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764" w:val="num"/>
        </w:tabs>
        <w:ind w:hanging="1044" w:left="1764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800" w:val="num"/>
        </w:tabs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20" w:val="num"/>
        </w:tabs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40" w:val="num"/>
        </w:tabs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60" w:val="num"/>
        </w:tabs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80" w:val="num"/>
        </w:tabs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400" w:val="num"/>
        </w:tabs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20" w:val="num"/>
        </w:tabs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40" w:val="num"/>
        </w:tabs>
        <w:ind w:hanging="180" w:left="6840"/>
      </w:pPr>
    </w:lvl>
  </w:abstractNum>
  <w:abstractNum w:abstractNumId="5">
    <w:nsid w:val="681d7a0c"/>
    <w:multiLevelType w:val="hybridMultilevel"/>
    <w:tmpl w:val="feacc334"/>
    <w:lvl w:ilvl="0">
      <w:start w:val="2"/>
      <w:numFmt w:val="decimal"/>
      <w:suff w:val="tab"/>
      <w:lvlText w:val="3.%1"/>
      <w:lvlJc w:val="left"/>
      <w:pPr>
        <w:pStyle w:val="Normal"/>
        <w:tabs>
          <w:tab w:leader="none" w:pos="1474" w:val="num"/>
        </w:tabs>
        <w:ind w:firstLine="709" w:left="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6">
    <w:nsid w:val="713a0159"/>
    <w:multiLevelType w:val="hybridMultilevel"/>
    <w:tmpl w:val="99a4c150"/>
    <w:lvl w:ilvl="0">
      <w:start w:val="2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708"/>
  <w:displayHorizontalDrawingGridEvery w:val="2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37a3b"/>
    <w:rsid w:val="0013352b"/>
    <w:rsid w:val="00133690"/>
    <w:rsid w:val="00153ff7"/>
    <w:rsid w:val="00177a35"/>
    <w:rsid w:val="00187942"/>
    <w:rsid w:val="001a2615"/>
    <w:rsid w:val="001c4833"/>
    <w:rsid w:val="0026687c"/>
    <w:rsid w:val="003f714f"/>
    <w:rsid w:val="00545e07"/>
    <w:rsid w:val="005e380c"/>
    <w:rsid w:val="0060600d"/>
    <w:rsid w:val="00664e72"/>
    <w:rsid w:val="006c2071"/>
    <w:rsid w:val="007c319e"/>
    <w:rsid w:val="007c3ad0"/>
    <w:rsid w:val="007c4c93"/>
    <w:rsid w:val="007f16a9"/>
    <w:rsid w:val="00834c94"/>
    <w:rsid w:val="00834e52"/>
    <w:rsid w:val="00837f0d"/>
    <w:rsid w:val="00856fe6"/>
    <w:rsid w:val="0086409e"/>
    <w:rsid w:val="00873b77"/>
    <w:rsid w:val="008b111e"/>
    <w:rsid w:val="008f440a"/>
    <w:rsid w:val="008f4581"/>
    <w:rsid w:val="00940724"/>
    <w:rsid w:val="009c1583"/>
    <w:rsid w:val="009e4564"/>
    <w:rsid w:val="00ae232a"/>
    <w:rsid w:val="00b63354"/>
    <w:rsid w:val="00c56ddf"/>
    <w:rsid w:val="00c92d0f"/>
    <w:rsid w:val="00cb4de1"/>
    <w:rsid w:val="00dc3e28"/>
    <w:rsid w:val="00e0486f"/>
    <w:rsid w:val="00e21acb"/>
    <w:rsid w:val="00e3797a"/>
    <w:rsid w:val="00e70256"/>
    <w:rsid w:val="00f30bda"/>
    <w:rsid w:val="00f72c58"/>
    <w:rsid w:val="00f84e26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pPr>
      <w:ind w:firstLine="539"/>
      <w:jc w:val="both"/>
    </w:pPr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paragraph" w:styleId="Heading2">
    <w:name w:val="Heading2"/>
    <w:basedOn w:val="Normal"/>
    <w:next w:val="Normal"/>
    <w:link w:val="Normal"/>
    <w:pPr>
      <w:keepNext/>
      <w:autoSpaceDE w:val="off"/>
      <w:autoSpaceDN w:val="off"/>
      <w:outlineLvl w:val="1"/>
      <w:jc w:val="center"/>
    </w:pPr>
    <w:rPr>
      <w:sz w:val="28"/>
      <w:szCs w:val="28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0"/>
    <w:pPr>
      <w:jc w:val="center"/>
    </w:pPr>
    <w:rPr>
      <w:lang w:eastAsia="en-US" w:val="en-US"/>
    </w:rPr>
  </w:style>
  <w:style w:type="paragraph" w:styleId="StGen12">
    <w:name w:val="StGen12"/>
    <w:next w:val="StGen12"/>
    <w:link w:val="Normal"/>
    <w:pPr>
      <w:ind w:firstLine="539"/>
      <w:jc w:val="both"/>
    </w:pPr>
    <w:rPr>
      <w:lang w:bidi="ar-SA" w:eastAsia="ru-RU" w:val="en-AU"/>
    </w:rPr>
  </w:style>
  <w:style w:type="paragraph" w:styleId="StGen13">
    <w:name w:val="StGen13"/>
    <w:next w:val="StGen13"/>
    <w:link w:val="Normal"/>
    <w:pPr>
      <w:autoSpaceDE w:val="off"/>
      <w:autoSpaceDN w:val="off"/>
      <w:ind w:firstLine="539" w:right="19772"/>
      <w:jc w:val="both"/>
    </w:pPr>
    <w:rPr>
      <w:lang w:bidi="ar-SA" w:eastAsia="ru-RU" w:val="ru-RU"/>
      <w:rFonts w:ascii="Courier New" w:hAnsi="Courier New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4">
    <w:name w:val="StGen14"/>
    <w:next w:val="StGen14"/>
    <w:link w:val="Normal"/>
    <w:pPr>
      <w:widowControl w:val="off"/>
      <w:autoSpaceDE w:val="off"/>
      <w:autoSpaceDN w:val="off"/>
      <w:ind w:firstLine="720"/>
      <w:jc w:val="both"/>
    </w:pPr>
    <w:rPr>
      <w:lang w:bidi="ar-SA" w:eastAsia="ru-RU" w:val="ru-RU"/>
      <w:rFonts w:ascii="Arial" w:hAnsi="Arial"/>
    </w:rPr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Title">
    <w:name w:val="Title"/>
    <w:basedOn w:val="Normal"/>
    <w:next w:val="Title"/>
    <w:link w:val="Normal"/>
    <w:pPr>
      <w:jc w:val="center"/>
    </w:pPr>
    <w:rPr>
      <w:b/>
      <w:sz w:val="32"/>
    </w:rPr>
  </w:style>
  <w:style w:type="paragraph" w:styleId="Acetate">
    <w:name w:val="Acetate"/>
    <w:basedOn w:val="Normal"/>
    <w:next w:val="Acetate"/>
    <w:link w:val="StGen15"/>
    <w:semiHidden/>
    <w:rPr>
      <w:sz w:val="16"/>
      <w:szCs w:val="16"/>
      <w:lang w:eastAsia="en-US" w:val="en-US"/>
      <w:rFonts w:ascii="Tahoma" w:hAnsi="Tahoma"/>
    </w:rPr>
  </w:style>
  <w:style w:type="paragraph" w:styleId="StGen3">
    <w:name w:val="StGen3"/>
    <w:basedOn w:val="Normal"/>
    <w:next w:val="Normal"/>
    <w:link w:val="Normal"/>
    <w:pPr>
      <w:autoSpaceDE w:val="off"/>
      <w:autoSpaceDN w:val="off"/>
    </w:pPr>
    <w:rPr>
      <w:sz w:val="20"/>
      <w:szCs w:val="20"/>
      <w:rFonts w:ascii="Arial" w:hAnsi="Arial"/>
    </w:rPr>
  </w:style>
  <w:style w:type="character" w:styleId="StGen2">
    <w:name w:val="StGen2"/>
    <w:next w:val="StGen2"/>
    <w:link w:val="Normal"/>
    <w:rPr>
      <w:b/>
      <w:color w:val="008000"/>
    </w:rPr>
  </w:style>
  <w:style w:type="paragraph" w:styleId="BodyText2">
    <w:name w:val="BodyText2"/>
    <w:basedOn w:val="Normal"/>
    <w:next w:val="BodyText2"/>
    <w:link w:val="StGen16"/>
    <w:pPr>
      <w:spacing w:after="120" w:line="480" w:lineRule="auto"/>
    </w:pPr>
    <w:rPr>
      <w:lang w:eastAsia="en-US" w:val="en-US"/>
    </w:rPr>
  </w:style>
  <w:style w:type="character" w:styleId="StGen16">
    <w:name w:val="StGen16"/>
    <w:next w:val="StGen16"/>
    <w:link w:val="BodyText2"/>
    <w:rPr>
      <w:sz w:val="24"/>
      <w:szCs w:val="24"/>
    </w:rPr>
  </w:style>
  <w:style w:type="paragraph" w:styleId="StGen6">
    <w:name w:val="StGen6"/>
    <w:next w:val="StGen6"/>
    <w:link w:val="Normal"/>
    <w:pPr>
      <w:widowControl w:val="off"/>
      <w:autoSpaceDE w:val="off"/>
      <w:autoSpaceDN w:val="off"/>
      <w:ind w:firstLine="539"/>
      <w:jc w:val="both"/>
    </w:pPr>
    <w:rPr>
      <w:lang w:bidi="ar-SA" w:eastAsia="ru-RU" w:val="ru-RU"/>
      <w:rFonts w:ascii="Courier New" w:hAnsi="Courier New"/>
    </w:rPr>
  </w:style>
  <w:style w:type="paragraph" w:styleId="StGen9">
    <w:name w:val="StGen9"/>
    <w:next w:val="StGen9"/>
    <w:link w:val="Normal"/>
    <w:pPr>
      <w:widowControl w:val="off"/>
      <w:autoSpaceDE w:val="off"/>
      <w:autoSpaceDN w:val="off"/>
      <w:ind w:firstLine="539"/>
      <w:jc w:val="both"/>
    </w:pPr>
    <w:rPr>
      <w:lang w:bidi="ar-SA" w:eastAsia="ru-RU" w:val="ru-RU"/>
      <w:rFonts w:ascii="Arial" w:hAnsi="Arial"/>
    </w:rPr>
  </w:style>
  <w:style w:type="paragraph" w:styleId="StGen4">
    <w:name w:val="StGen4"/>
    <w:next w:val="StGen4"/>
    <w:link w:val="Normal"/>
    <w:pPr>
      <w:widowControl w:val="off"/>
      <w:autoSpaceDE w:val="off"/>
      <w:autoSpaceDN w:val="off"/>
      <w:ind w:firstLine="720"/>
      <w:jc w:val="both"/>
    </w:pPr>
    <w:rPr>
      <w:lang w:bidi="ar-SA" w:eastAsia="ru-RU" w:val="ru-RU"/>
      <w:rFonts w:ascii="Arial" w:hAnsi="Arial"/>
    </w:rPr>
  </w:style>
  <w:style w:type="character" w:styleId="StGen0">
    <w:name w:val="StGen0"/>
    <w:next w:val="StGen0"/>
    <w:link w:val="BodyText"/>
    <w:rPr>
      <w:sz w:val="24"/>
      <w:szCs w:val="24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StGen17">
    <w:name w:val="StGen17"/>
    <w:basedOn w:val="NormalCharacter"/>
    <w:next w:val="StGen17"/>
    <w:link w:val="Normal"/>
  </w:style>
  <w:style w:type="paragraph" w:styleId="BodyTextIndent">
    <w:name w:val="BodyTextIndent"/>
    <w:basedOn w:val="Normal"/>
    <w:next w:val="BodyTextIndent"/>
    <w:link w:val="StGen18"/>
    <w:pPr>
      <w:ind w:left="283"/>
      <w:spacing w:after="120"/>
    </w:pPr>
    <w:rPr>
      <w:lang w:eastAsia="en-US" w:val="en-US"/>
    </w:rPr>
  </w:style>
  <w:style w:type="character" w:styleId="StGen18">
    <w:name w:val="StGen18"/>
    <w:next w:val="StGen18"/>
    <w:link w:val="BodyTextIndent"/>
    <w:rPr>
      <w:sz w:val="24"/>
      <w:szCs w:val="24"/>
    </w:rPr>
  </w:style>
  <w:style w:type="paragraph" w:styleId="Header">
    <w:name w:val="Header"/>
    <w:basedOn w:val="Normal"/>
    <w:next w:val="Header"/>
    <w:link w:val="StGen7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7">
    <w:name w:val="StGen7"/>
    <w:next w:val="StGen7"/>
    <w:link w:val="Header"/>
    <w:rPr>
      <w:sz w:val="24"/>
      <w:szCs w:val="24"/>
    </w:rPr>
  </w:style>
  <w:style w:type="paragraph" w:styleId="Footer">
    <w:name w:val="Footer"/>
    <w:basedOn w:val="Normal"/>
    <w:next w:val="Footer"/>
    <w:link w:val="StGen19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19">
    <w:name w:val="StGen19"/>
    <w:next w:val="StGen19"/>
    <w:link w:val="Footer"/>
    <w:rPr>
      <w:sz w:val="24"/>
      <w:szCs w:val="24"/>
    </w:rPr>
  </w:style>
  <w:style w:type="table" w:styleId="StGen20">
    <w:name w:val="StGen20"/>
    <w:basedOn w:val="TableNormal"/>
    <w:next w:val="TableGrid"/>
    <w:link w:val="Normal"/>
    <w:rPr>
      <w:sz w:val="28"/>
      <w:szCs w:val="28"/>
      <w:lang w:eastAsia="en-US"/>
      <w:rFonts w:eastAsia="Calibri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character" w:styleId="StGen15">
    <w:name w:val="StGen15"/>
    <w:next w:val="StGen15"/>
    <w:link w:val="Acetate"/>
    <w:locked/>
    <w:semiHidden/>
    <w:rPr>
      <w:sz w:val="16"/>
      <w:szCs w:val="16"/>
      <w:rFonts w:ascii="Tahoma" w:hAnsi="Tahoma"/>
    </w:rPr>
  </w:style>
  <w:style w:type="character" w:styleId="StGen21">
    <w:name w:val="StGen21"/>
    <w:next w:val="StGen21"/>
    <w:link w:val="Normal"/>
    <w:rPr>
      <w:sz w:val="22"/>
      <w:szCs w:val="22"/>
      <w:rFonts w:ascii="Times New Roman" w:hAnsi="Times New Roman"/>
    </w:rPr>
  </w:style>
  <w:style w:type="paragraph" w:styleId="StGen22">
    <w:name w:val="StGen22"/>
    <w:basedOn w:val="Normal"/>
    <w:next w:val="StGen22"/>
    <w:link w:val="Normal"/>
    <w:pPr>
      <w:widowControl w:val="off"/>
      <w:autoSpaceDE w:val="off"/>
      <w:autoSpaceDN w:val="off"/>
      <w:ind w:firstLine="0"/>
      <w:jc w:val="left"/>
    </w:pPr>
  </w:style>
  <w:style w:type="character" w:styleId="StGen23">
    <w:name w:val="StGen23"/>
    <w:next w:val="StGen23"/>
    <w:link w:val="Normal"/>
    <w:rPr>
      <w:sz w:val="22"/>
      <w:szCs w:val="22"/>
      <w:rFonts w:ascii="Times New Roman" w:hAnsi="Times New Roman"/>
    </w:rPr>
  </w:style>
  <w:style w:type="character" w:styleId="StGen24">
    <w:name w:val="StGen24"/>
    <w:next w:val="StGen24"/>
    <w:link w:val="Normal"/>
    <w:rPr>
      <w:b/>
      <w:color w:val="000080"/>
    </w:rPr>
  </w:style>
  <w:style w:type="paragraph" w:styleId="User">
    <w:name w:val="User"/>
    <w:next w:val="User"/>
    <w:link w:val="Normal"/>
    <w:rPr>
      <w:sz w:val="24"/>
      <w:szCs w:val="24"/>
      <w:lang w:bidi="ar-SA" w:eastAsia="ru-RU" w:val="ru-RU"/>
    </w:rPr>
  </w:style>
  <w:style w:type="paragraph" w:styleId="StGen1">
    <w:name w:val="StGen1"/>
    <w:next w:val="StGen1"/>
    <w:link w:val="Normal"/>
    <w:rPr>
      <w:lang w:bidi="ar-SA" w:eastAsia="ru-RU" w:val="ru-RU"/>
    </w:rPr>
  </w:style>
  <w:style w:type="paragraph" w:styleId="StGen25">
    <w:name w:val="StGen25"/>
    <w:next w:val="StGen25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hAnsi="Arial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