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79320f">
      <w:pPr>
        <w:pStyle w:val="Normal"/>
        <w:rPr>
          <w:i/>
          <w:sz w:val="18"/>
          <w:szCs w:val="18"/>
        </w:rPr>
        <w:jc w:val="right"/>
      </w:pPr>
      <w:r w:rsidR="007b7089" w:rsidRPr="002f6c18">
        <w:rPr>
          <w:sz w:val="18"/>
          <w:szCs w:val="18"/>
        </w:rPr>
        <w:t xml:space="preserve"> </w:t>
      </w:r>
      <w:r w:rsidR="00987232" w:rsidRPr="002f6c18">
        <w:rPr>
          <w:i/>
          <w:sz w:val="18"/>
          <w:szCs w:val="18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3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0404299C-C41E-4827-9CFD-F9B132C6D124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b09d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</w: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О</w: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3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803f42" w:rsidRPr="00803f42">
              <w:pict>
                <v:line id="_x0000_s1027" type="#_x0000_t20" style="position:absolute;mso-position-vertical-relative:page;" from="-0.34999999999999998pt,7.9500000000000002pt" to="484.35000000000002pt,7.9500000000000002pt" strokeweight="63500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jc w:val="center"/>
      </w:pPr>
      <w:r w:rsidR="00976d60">
        <w:rPr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a9095e">
        <w:rPr>
          <w:b/>
          <w:sz w:val="36"/>
          <w:szCs w:val="36"/>
        </w:rPr>
        <w:t xml:space="preserve">РЕШЕНИЕ</w:t>
      </w:r>
    </w:p>
    <w:p w:rsidP="007b09da">
      <w:pPr>
        <w:pStyle w:val="Normal"/>
        <w:rPr>
          <w:b/>
          <w:sz w:val="28"/>
          <w:szCs w:val="28"/>
        </w:rPr>
        <w:jc w:val="center"/>
      </w:pPr>
      <w:r w:rsidR="007e6fcb" w:rsidRPr="00976d60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976d60">
            <w:pPr>
              <w:pStyle w:val="BodyText"/>
              <w:rPr>
                <w:szCs w:val="24"/>
                <w:lang w:val="ru-RU"/>
              </w:rPr>
              <w:jc w:val="center"/>
            </w:pPr>
            <w:r w:rsidR="001941a0" w:rsidRPr="002f5bb9">
              <w:rPr>
                <w:szCs w:val="24"/>
                <w:lang w:val="ru-RU"/>
              </w:rPr>
              <w:t xml:space="preserve">от </w:t>
            </w:r>
            <w:r w:rsidR="00976d60">
              <w:rPr>
                <w:szCs w:val="24"/>
                <w:lang w:val="ru-RU"/>
              </w:rPr>
              <w:t xml:space="preserve">25.02.2015</w:t>
            </w:r>
            <w:r w:rsidR="001941a0" w:rsidRPr="002f5bb9">
              <w:rPr>
                <w:szCs w:val="24"/>
                <w:lang w:val="ru-RU"/>
              </w:rPr>
              <w:t xml:space="preserve"> № </w:t>
            </w:r>
            <w:r w:rsidR="00976d60">
              <w:rPr>
                <w:szCs w:val="24"/>
                <w:lang w:val="ru-RU"/>
              </w:rPr>
              <w:t xml:space="preserve">669</w:t>
            </w:r>
            <w:r w:rsidR="001941a0" w:rsidRPr="002f5bb9">
              <w:rPr>
                <w:szCs w:val="24"/>
                <w:lang w:val="ru-RU"/>
              </w:rPr>
              <w:t xml:space="preserve">-р</w:t>
            </w:r>
            <w:r w:rsidR="007e6fcb" w:rsidRPr="002f5bb9">
              <w:rPr>
                <w:szCs w:val="24"/>
                <w:lang w:val="ru-RU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1941a0">
            <w:pPr>
              <w:pStyle w:val="BodyText"/>
              <w:rPr>
                <w:szCs w:val="24"/>
                <w:lang w:val="ru-RU"/>
              </w:rPr>
              <w:jc w:val="center"/>
            </w:pPr>
            <w:r w:rsidR="00976d60">
              <w:rPr>
                <w:szCs w:val="24"/>
                <w:lang w:val="ru-RU"/>
              </w:rPr>
              <w:t xml:space="preserve">27</w:t>
            </w:r>
            <w:r w:rsidR="00351dd5">
              <w:rPr>
                <w:szCs w:val="24"/>
                <w:lang w:val="ru-RU"/>
              </w:rPr>
              <w:t xml:space="preserve">-я </w:t>
            </w:r>
            <w:r w:rsidR="007e6fcb" w:rsidRPr="002f5bb9">
              <w:rPr>
                <w:szCs w:val="24"/>
                <w:lang w:val="ru-RU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  <w:lang w:val="ru-RU"/>
              </w:rPr>
              <w:jc w:val="center"/>
            </w:pPr>
            <w:r w:rsidR="007e6fcb" w:rsidRPr="002f5bb9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64bf">
            <w:pPr>
              <w:pStyle w:val="Normal"/>
              <w:rPr>
                <w:sz w:val="28"/>
                <w:szCs w:val="28"/>
              </w:rPr>
              <w:jc w:val="both"/>
            </w:pPr>
            <w:r w:rsidR="00b1238b" w:rsidRPr="00b1238b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</w:t>
            </w:r>
            <w:r w:rsidR="00351dd5">
              <w:rPr>
                <w:sz w:val="28"/>
                <w:szCs w:val="28"/>
              </w:rPr>
              <w:br w:clear="all" w:type="textWrapping"/>
            </w:r>
            <w:r w:rsidR="00b1238b" w:rsidRPr="00b1238b">
              <w:rPr>
                <w:sz w:val="28"/>
                <w:szCs w:val="28"/>
              </w:rPr>
              <w:t xml:space="preserve">от 22.04.2009 № 477-р</w:t>
            </w:r>
            <w:r w:rsidR="004664bf">
              <w:rPr>
                <w:sz w:val="28"/>
                <w:szCs w:val="28"/>
              </w:rPr>
              <w:t xml:space="preserve">                                  </w:t>
            </w:r>
            <w:r w:rsidR="00b1238b" w:rsidRPr="00b1238b">
              <w:rPr>
                <w:sz w:val="28"/>
                <w:szCs w:val="28"/>
              </w:rPr>
              <w:t xml:space="preserve">«Об утверждении структуры</w:t>
            </w:r>
            <w:r w:rsidR="004664bf">
              <w:rPr>
                <w:sz w:val="28"/>
                <w:szCs w:val="28"/>
              </w:rPr>
              <w:t xml:space="preserve"> администрации </w:t>
            </w:r>
            <w:r w:rsidR="00b1238b" w:rsidRPr="00b1238b">
              <w:rPr>
                <w:sz w:val="28"/>
                <w:szCs w:val="28"/>
              </w:rPr>
              <w:t xml:space="preserve">Петропавловс</w:t>
            </w:r>
            <w:r w:rsidR="00b1238b">
              <w:rPr>
                <w:sz w:val="28"/>
                <w:szCs w:val="28"/>
              </w:rPr>
              <w:t xml:space="preserve">к-Камчатского городского округа</w:t>
            </w:r>
            <w:r w:rsidR="00d5003f" w:rsidRPr="00b1238b">
              <w:rPr>
                <w:sz w:val="28"/>
                <w:szCs w:val="28"/>
              </w:rPr>
              <w:t xml:space="preserve">»</w:t>
            </w:r>
            <w:r w:rsidR="007e6fcb" w:rsidRPr="00b1238b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  <w:ind w:firstLine="720"/>
        <w:jc w:val="both"/>
      </w:pPr>
      <w:r w:rsidR="00d5003f" w:rsidRPr="00d53472">
        <w:rPr>
          <w:sz w:val="28"/>
          <w:szCs w:val="28"/>
        </w:rPr>
        <w:t xml:space="preserve">Рассмотрев проект решения </w:t>
      </w:r>
      <w:r w:rsidR="00d5003f">
        <w:rPr>
          <w:sz w:val="28"/>
          <w:szCs w:val="28"/>
        </w:rPr>
        <w:t xml:space="preserve">о</w:t>
      </w:r>
      <w:r w:rsidR="00d5003f" w:rsidRPr="00d53472">
        <w:rPr>
          <w:sz w:val="28"/>
          <w:szCs w:val="28"/>
        </w:rPr>
        <w:t xml:space="preserve"> внесении изменени</w:t>
      </w:r>
      <w:r w:rsidR="007d115a">
        <w:rPr>
          <w:sz w:val="28"/>
          <w:szCs w:val="28"/>
        </w:rPr>
        <w:t xml:space="preserve">я</w:t>
      </w:r>
      <w:r w:rsidR="00d5003f" w:rsidRPr="00d53472">
        <w:rPr>
          <w:sz w:val="28"/>
          <w:szCs w:val="28"/>
        </w:rPr>
        <w:t xml:space="preserve"> в </w:t>
      </w:r>
      <w:r w:rsidR="00d5003f">
        <w:rPr>
          <w:sz w:val="28"/>
          <w:szCs w:val="28"/>
        </w:rPr>
        <w:t xml:space="preserve">р</w:t>
      </w:r>
      <w:r w:rsidR="00d5003f" w:rsidRPr="00d53472">
        <w:rPr>
          <w:sz w:val="28"/>
          <w:szCs w:val="28"/>
        </w:rPr>
        <w:t xml:space="preserve">ешение Городской Думы</w:t>
      </w:r>
      <w:r w:rsidR="00351dd5">
        <w:rPr>
          <w:sz w:val="28"/>
          <w:szCs w:val="28"/>
        </w:rPr>
        <w:t xml:space="preserve"> </w:t>
      </w:r>
      <w:r w:rsidR="00976d60">
        <w:rPr>
          <w:sz w:val="28"/>
          <w:szCs w:val="28"/>
        </w:rPr>
        <w:t xml:space="preserve">П</w:t>
      </w:r>
      <w:r w:rsidR="00d5003f" w:rsidRPr="00d53472">
        <w:rPr>
          <w:sz w:val="28"/>
          <w:szCs w:val="28"/>
        </w:rPr>
        <w:t xml:space="preserve">етропавловск-Камчатского городского округа </w:t>
      </w:r>
      <w:r w:rsidR="00b1238b" w:rsidRPr="00b1238b">
        <w:rPr>
          <w:sz w:val="28"/>
          <w:szCs w:val="28"/>
        </w:rPr>
        <w:t xml:space="preserve">22.04.2009 № 477-р</w:t>
      </w:r>
      <w:r w:rsidR="00b1238b">
        <w:rPr>
          <w:sz w:val="28"/>
          <w:szCs w:val="28"/>
        </w:rPr>
        <w:t xml:space="preserve"> </w:t>
      </w:r>
      <w:r w:rsidR="00351dd5">
        <w:rPr>
          <w:sz w:val="28"/>
          <w:szCs w:val="28"/>
        </w:rPr>
        <w:br w:clear="all" w:type="textWrapping"/>
      </w:r>
      <w:r w:rsidR="00b1238b" w:rsidRPr="00b1238b">
        <w:rPr>
          <w:sz w:val="28"/>
          <w:szCs w:val="28"/>
        </w:rPr>
        <w:t xml:space="preserve">«Об утверждении структуры администрации Петропавловс</w:t>
      </w:r>
      <w:r w:rsidR="00b1238b">
        <w:rPr>
          <w:sz w:val="28"/>
          <w:szCs w:val="28"/>
        </w:rPr>
        <w:t xml:space="preserve">к-Камчатского городского округа</w:t>
      </w:r>
      <w:r w:rsidR="00b1238b" w:rsidRPr="00b1238b">
        <w:rPr>
          <w:sz w:val="28"/>
          <w:szCs w:val="28"/>
        </w:rPr>
        <w:t xml:space="preserve">»</w:t>
      </w:r>
      <w:r w:rsidR="00d5003f" w:rsidRPr="00d53472">
        <w:rPr>
          <w:sz w:val="28"/>
          <w:szCs w:val="28"/>
        </w:rPr>
        <w:t xml:space="preserve">, внесенный Главой администрации Петропавловск-Камчатского городского округа</w:t>
      </w:r>
      <w:r w:rsidR="00995d0a">
        <w:rPr>
          <w:sz w:val="28"/>
          <w:szCs w:val="28"/>
        </w:rPr>
        <w:t xml:space="preserve"> </w:t>
      </w:r>
      <w:r w:rsidR="001557b9" w:rsidRPr="00330e3a">
        <w:rPr>
          <w:sz w:val="28"/>
          <w:szCs w:val="28"/>
        </w:rPr>
        <w:t xml:space="preserve">Панченко Е.А.</w:t>
      </w:r>
      <w:r w:rsidR="00d5003f" w:rsidRPr="00330e3a">
        <w:rPr>
          <w:sz w:val="28"/>
          <w:szCs w:val="28"/>
        </w:rPr>
        <w:t xml:space="preserve">,</w:t>
      </w:r>
      <w:r w:rsidR="00d5003f" w:rsidRPr="00d53472">
        <w:rPr>
          <w:sz w:val="28"/>
          <w:szCs w:val="28"/>
        </w:rPr>
        <w:t xml:space="preserve"> </w:t>
      </w:r>
      <w:r w:rsidR="00a9095e">
        <w:rPr>
          <w:sz w:val="28"/>
          <w:szCs w:val="28"/>
        </w:rPr>
        <w:t xml:space="preserve">в соответствии со </w:t>
      </w:r>
      <w:r w:rsidR="00d5003f" w:rsidRPr="00d53472">
        <w:rPr>
          <w:sz w:val="28"/>
          <w:szCs w:val="28"/>
        </w:rPr>
        <w:t xml:space="preserve">стать</w:t>
      </w:r>
      <w:r w:rsidR="004f7f06">
        <w:rPr>
          <w:sz w:val="28"/>
          <w:szCs w:val="28"/>
        </w:rPr>
        <w:t xml:space="preserve">ями</w:t>
      </w:r>
      <w:r w:rsidR="00d5003f" w:rsidRPr="00d53472">
        <w:rPr>
          <w:sz w:val="28"/>
          <w:szCs w:val="28"/>
        </w:rPr>
        <w:t xml:space="preserve"> 28</w:t>
      </w:r>
      <w:r w:rsidR="004f7f06">
        <w:rPr>
          <w:sz w:val="28"/>
          <w:szCs w:val="28"/>
        </w:rPr>
        <w:t xml:space="preserve">,</w:t>
      </w:r>
      <w:r w:rsidR="00d5003f" w:rsidRPr="00d53472">
        <w:rPr>
          <w:sz w:val="28"/>
          <w:szCs w:val="28"/>
        </w:rPr>
        <w:t xml:space="preserve"> </w:t>
      </w:r>
      <w:r w:rsidR="004f7f06">
        <w:rPr>
          <w:sz w:val="28"/>
          <w:szCs w:val="28"/>
        </w:rPr>
        <w:t xml:space="preserve">45 </w:t>
      </w:r>
      <w:r w:rsidR="00d5003f" w:rsidRPr="00d53472">
        <w:rPr>
          <w:sz w:val="28"/>
          <w:szCs w:val="28"/>
        </w:rPr>
        <w:t xml:space="preserve">Устава Петропавловск-Камчатского городского округа, Городская Дума Петропавловск-Камчатского г</w:t>
      </w:r>
      <w:r w:rsidR="00d5003f" w:rsidRPr="00d53472">
        <w:rPr>
          <w:sz w:val="28"/>
          <w:szCs w:val="28"/>
        </w:rPr>
        <w:t xml:space="preserve">о</w:t>
      </w:r>
      <w:r w:rsidR="00d5003f" w:rsidRPr="00d53472">
        <w:rPr>
          <w:sz w:val="28"/>
          <w:szCs w:val="28"/>
        </w:rPr>
        <w:t xml:space="preserve">родского округа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1941a0">
        <w:rPr>
          <w:b/>
          <w:sz w:val="28"/>
          <w:szCs w:val="28"/>
        </w:rPr>
        <w:t xml:space="preserve">РЕШИЛА: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98649a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08"/>
        <w:jc w:val="both"/>
      </w:pPr>
      <w:r w:rsidR="00d5003f" w:rsidRPr="00d53472">
        <w:rPr>
          <w:sz w:val="28"/>
          <w:szCs w:val="28"/>
        </w:rPr>
        <w:t xml:space="preserve">1. Внести изменени</w:t>
      </w:r>
      <w:r w:rsidR="007d115a">
        <w:rPr>
          <w:sz w:val="28"/>
          <w:szCs w:val="28"/>
        </w:rPr>
        <w:t xml:space="preserve">е</w:t>
      </w:r>
      <w:r w:rsidR="00d5003f" w:rsidRPr="00d53472">
        <w:rPr>
          <w:sz w:val="28"/>
          <w:szCs w:val="28"/>
        </w:rPr>
        <w:t xml:space="preserve"> в приложение к </w:t>
      </w:r>
      <w:r w:rsidR="00d5003f">
        <w:rPr>
          <w:sz w:val="28"/>
          <w:szCs w:val="28"/>
        </w:rPr>
        <w:t xml:space="preserve">р</w:t>
      </w:r>
      <w:r w:rsidR="00d5003f" w:rsidRPr="00d53472">
        <w:rPr>
          <w:sz w:val="28"/>
          <w:szCs w:val="28"/>
        </w:rPr>
        <w:t xml:space="preserve">ешению Городской Думы Петропавловск-Камчатского городского округа </w:t>
      </w:r>
      <w:r w:rsidR="00b1238b" w:rsidRPr="00b1238b">
        <w:rPr>
          <w:sz w:val="28"/>
          <w:szCs w:val="28"/>
        </w:rPr>
        <w:t xml:space="preserve">от 22.04.2009 </w:t>
      </w:r>
      <w:r w:rsidR="00351dd5">
        <w:rPr>
          <w:sz w:val="28"/>
          <w:szCs w:val="28"/>
        </w:rPr>
        <w:t xml:space="preserve">№</w:t>
      </w:r>
      <w:r w:rsidR="00976d60">
        <w:rPr>
          <w:sz w:val="28"/>
          <w:szCs w:val="28"/>
        </w:rPr>
        <w:t xml:space="preserve"> </w:t>
      </w:r>
      <w:r w:rsidR="00b1238b" w:rsidRPr="00b1238b">
        <w:rPr>
          <w:sz w:val="28"/>
          <w:szCs w:val="28"/>
        </w:rPr>
        <w:t xml:space="preserve">477-р</w:t>
      </w:r>
      <w:r w:rsidR="00b1238b">
        <w:rPr>
          <w:sz w:val="28"/>
          <w:szCs w:val="28"/>
        </w:rPr>
        <w:t xml:space="preserve"> </w:t>
      </w:r>
      <w:r w:rsidR="00351dd5">
        <w:rPr>
          <w:sz w:val="28"/>
          <w:szCs w:val="28"/>
        </w:rPr>
        <w:br w:clear="all" w:type="textWrapping"/>
      </w:r>
      <w:r w:rsidR="00b1238b" w:rsidRPr="00b1238b">
        <w:rPr>
          <w:sz w:val="28"/>
          <w:szCs w:val="28"/>
        </w:rPr>
        <w:t xml:space="preserve">«Об утверждении структуры администрации Петропавловс</w:t>
      </w:r>
      <w:r w:rsidR="00b1238b">
        <w:rPr>
          <w:sz w:val="28"/>
          <w:szCs w:val="28"/>
        </w:rPr>
        <w:t xml:space="preserve">к-Камчатского городского округа</w:t>
      </w:r>
      <w:r w:rsidR="00b1238b" w:rsidRPr="00b1238b">
        <w:rPr>
          <w:sz w:val="28"/>
          <w:szCs w:val="28"/>
        </w:rPr>
        <w:t xml:space="preserve">»</w:t>
      </w:r>
      <w:r w:rsidR="00d5003f" w:rsidRPr="00d53472">
        <w:rPr>
          <w:sz w:val="28"/>
          <w:szCs w:val="28"/>
        </w:rPr>
        <w:t xml:space="preserve">, </w:t>
      </w:r>
      <w:r w:rsidR="00995d0a">
        <w:rPr>
          <w:sz w:val="28"/>
          <w:szCs w:val="28"/>
        </w:rPr>
        <w:t xml:space="preserve">исключив</w:t>
      </w:r>
      <w:r w:rsidR="00b1238b">
        <w:rPr>
          <w:sz w:val="28"/>
          <w:szCs w:val="28"/>
        </w:rPr>
        <w:t xml:space="preserve"> слов</w:t>
      </w:r>
      <w:r w:rsidR="00331053">
        <w:rPr>
          <w:sz w:val="28"/>
          <w:szCs w:val="28"/>
        </w:rPr>
        <w:t xml:space="preserve">а</w:t>
      </w:r>
      <w:r w:rsidR="00b1238b">
        <w:rPr>
          <w:sz w:val="28"/>
          <w:szCs w:val="28"/>
        </w:rPr>
        <w:t xml:space="preserve"> «</w:t>
      </w:r>
      <w:r w:rsidR="00331053">
        <w:rPr>
          <w:sz w:val="28"/>
          <w:szCs w:val="28"/>
        </w:rPr>
        <w:t xml:space="preserve">Управление безопасности </w:t>
      </w:r>
      <w:r w:rsidR="00331053" w:rsidRPr="001941a0">
        <w:rPr>
          <w:sz w:val="28"/>
          <w:szCs w:val="28"/>
        </w:rPr>
        <w:t xml:space="preserve">администрации Петропавловс</w:t>
      </w:r>
      <w:r w:rsidR="00331053">
        <w:rPr>
          <w:sz w:val="28"/>
          <w:szCs w:val="28"/>
        </w:rPr>
        <w:t xml:space="preserve">к-Камчатского городского округа</w:t>
      </w:r>
      <w:r w:rsidR="00995d0a" w:rsidRPr="00995d0a">
        <w:rPr>
          <w:sz w:val="28"/>
          <w:szCs w:val="28"/>
        </w:rPr>
        <w:t xml:space="preserve">.</w:t>
      </w:r>
      <w:r w:rsidR="00b1238b">
        <w:rPr>
          <w:sz w:val="28"/>
          <w:szCs w:val="28"/>
        </w:rPr>
        <w:t xml:space="preserve">»</w:t>
      </w:r>
      <w:r w:rsidR="0079320f">
        <w:rPr>
          <w:sz w:val="28"/>
          <w:szCs w:val="28"/>
        </w:rPr>
        <w:t xml:space="preserve">.</w:t>
      </w:r>
      <w:r w:rsidR="00d5003f" w:rsidRPr="00b1238b">
        <w:rPr>
          <w:b/>
          <w:sz w:val="28"/>
          <w:szCs w:val="28"/>
        </w:rPr>
      </w:r>
    </w:p>
    <w:p w:rsidP="0098649a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5003f" w:rsidRPr="00d53472">
        <w:rPr>
          <w:sz w:val="28"/>
          <w:szCs w:val="28"/>
        </w:rPr>
        <w:t xml:space="preserve">2. Направить настоящее решение в газету «Град Петра и Павла» для опубликования.</w:t>
      </w:r>
      <w:r w:rsidR="00d5003f">
        <w:rPr>
          <w:sz w:val="28"/>
          <w:szCs w:val="28"/>
        </w:rPr>
      </w:r>
    </w:p>
    <w:p w:rsidP="0098649a">
      <w:pPr>
        <w:pStyle w:val="Normal"/>
        <w:rPr>
          <w:sz w:val="28"/>
          <w:szCs w:val="28"/>
        </w:rPr>
        <w:ind w:firstLine="708"/>
        <w:jc w:val="both"/>
      </w:pPr>
      <w:r w:rsidR="00d5003f" w:rsidRPr="00d53472">
        <w:rPr>
          <w:sz w:val="28"/>
          <w:szCs w:val="28"/>
        </w:rPr>
        <w:t xml:space="preserve">3. </w:t>
      </w:r>
      <w:r w:rsidR="002f6c18" w:rsidRPr="00d53472">
        <w:rPr>
          <w:sz w:val="28"/>
          <w:szCs w:val="28"/>
        </w:rPr>
        <w:t xml:space="preserve">Настоящее решение вступает в силу </w:t>
      </w:r>
      <w:r w:rsidR="002f6c18">
        <w:rPr>
          <w:sz w:val="28"/>
          <w:szCs w:val="28"/>
        </w:rPr>
        <w:t xml:space="preserve">с </w:t>
      </w:r>
      <w:r w:rsidR="002f6c18" w:rsidRPr="007b09da">
        <w:rPr>
          <w:sz w:val="28"/>
          <w:szCs w:val="28"/>
        </w:rPr>
        <w:t xml:space="preserve">01.04.2015</w:t>
      </w:r>
      <w:r w:rsidR="002f6c18" w:rsidRPr="00d53472">
        <w:rPr>
          <w:sz w:val="28"/>
          <w:szCs w:val="28"/>
        </w:rPr>
        <w:t xml:space="preserve">.</w:t>
      </w:r>
    </w:p>
    <w:p w:rsidP="0079320f">
      <w:pPr>
        <w:pStyle w:val="Normal"/>
        <w:rPr>
          <w:sz w:val="28"/>
          <w:szCs w:val="28"/>
        </w:rPr>
        <w:ind w:firstLine="708"/>
        <w:jc w:val="both"/>
      </w:pPr>
      <w:r w:rsidR="00d5003f" w:rsidRPr="00d53472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</w:pPr>
      <w:r w:rsidR="00e7054c">
        <w:rPr>
          <w:sz w:val="28"/>
          <w:szCs w:val="28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245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e57a3">
            <w:pPr>
              <w:pStyle w:val="Normal"/>
              <w:rPr>
                <w:sz w:val="28"/>
                <w:szCs w:val="28"/>
              </w:rPr>
              <w:ind w:right="34"/>
              <w:jc w:val="both"/>
            </w:pPr>
            <w:r w:rsidR="00d5003f" w:rsidRPr="00d53472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</w:t>
            </w:r>
            <w:r w:rsidR="00be57a3">
              <w:rPr>
                <w:sz w:val="28"/>
                <w:szCs w:val="28"/>
              </w:rPr>
              <w:t xml:space="preserve"> Г</w:t>
            </w:r>
            <w:r w:rsidR="00d5003f" w:rsidRPr="00d53472">
              <w:rPr>
                <w:sz w:val="28"/>
                <w:szCs w:val="28"/>
              </w:rPr>
              <w:t xml:space="preserve">ородской Думы                                                                                        </w:t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e57bf">
            <w:pPr>
              <w:pStyle w:val="Normal"/>
              <w:rPr>
                <w:sz w:val="28"/>
                <w:szCs w:val="28"/>
              </w:rPr>
              <w:jc w:val="both"/>
            </w:pPr>
            <w:r w:rsidR="00d5003f" w:rsidRPr="00d53472">
              <w:rPr>
                <w:sz w:val="28"/>
                <w:szCs w:val="28"/>
              </w:rPr>
            </w:r>
          </w:p>
          <w:p w:rsidP="008e57bf">
            <w:pPr>
              <w:pStyle w:val="Normal"/>
              <w:rPr>
                <w:sz w:val="28"/>
                <w:szCs w:val="28"/>
              </w:rPr>
              <w:jc w:val="both"/>
            </w:pPr>
            <w:r w:rsidR="00be57a3">
              <w:rPr>
                <w:sz w:val="28"/>
                <w:szCs w:val="28"/>
              </w:rPr>
            </w:r>
          </w:p>
          <w:p w:rsidP="008e57bf">
            <w:pPr>
              <w:pStyle w:val="Normal"/>
              <w:rPr>
                <w:sz w:val="28"/>
                <w:szCs w:val="28"/>
              </w:rPr>
              <w:jc w:val="both"/>
            </w:pPr>
            <w:r w:rsidR="00be57a3">
              <w:rPr>
                <w:sz w:val="28"/>
                <w:szCs w:val="28"/>
              </w:rPr>
              <w:t xml:space="preserve">                                 </w:t>
            </w:r>
            <w:r w:rsidR="001941a0">
              <w:rPr>
                <w:sz w:val="28"/>
                <w:szCs w:val="28"/>
              </w:rPr>
              <w:t xml:space="preserve">  </w:t>
            </w:r>
          </w:p>
          <w:p w:rsidP="004f7f06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1941a0">
              <w:rPr>
                <w:sz w:val="28"/>
                <w:szCs w:val="28"/>
              </w:rPr>
              <w:t xml:space="preserve">                              </w:t>
            </w:r>
            <w:r w:rsidR="00be57a3">
              <w:rPr>
                <w:sz w:val="28"/>
                <w:szCs w:val="28"/>
              </w:rPr>
              <w:t xml:space="preserve">  К.Г. Слыщенко</w:t>
            </w:r>
            <w:r w:rsidR="00d5003f" w:rsidRPr="00d53472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P="00976d60">
      <w:pPr>
        <w:pStyle w:val="Normal"/>
        <w:rPr>
          <w:sz w:val="28"/>
          <w:bCs/>
          <w:szCs w:val="28"/>
        </w:rPr>
        <w:jc w:val="center"/>
      </w:pPr>
      <w:r w:rsidR="00e04c16">
        <w:rPr>
          <w:sz w:val="28"/>
          <w:bCs/>
          <w:szCs w:val="28"/>
        </w:rPr>
      </w:r>
    </w:p>
    <w:sectPr>
      <w:type w:val="nextPage"/>
      <w:pgSz w:h="16838" w:w="11906"/>
      <w:pgMar w:bottom="568" w:footer="708" w:gutter="0" w:header="708" w:left="1134" w:right="849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603b0f10"/>
    <w:multiLevelType w:val="hybridMultilevel"/>
    <w:tmpl w:val="41a6f8c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1557b9"/>
    <w:rsid w:val="001941a0"/>
    <w:rsid w:val="002f5bb9"/>
    <w:rsid w:val="002f6c18"/>
    <w:rsid w:val="00330e3a"/>
    <w:rsid w:val="00331053"/>
    <w:rsid w:val="00351dd5"/>
    <w:rsid w:val="004664bf"/>
    <w:rsid w:val="004f7f06"/>
    <w:rsid w:val="00747d9d"/>
    <w:rsid w:val="0079320f"/>
    <w:rsid w:val="007b09da"/>
    <w:rsid w:val="007b7089"/>
    <w:rsid w:val="007d115a"/>
    <w:rsid w:val="007e6fcb"/>
    <w:rsid w:val="00803f42"/>
    <w:rsid w:val="008e57bf"/>
    <w:rsid w:val="00976d60"/>
    <w:rsid w:val="0098649a"/>
    <w:rsid w:val="00987232"/>
    <w:rsid w:val="00995d0a"/>
    <w:rsid w:val="00a9095e"/>
    <w:rsid w:val="00b1238b"/>
    <w:rsid w:val="00be57a3"/>
    <w:rsid w:val="00c31a0d"/>
    <w:rsid w:val="00d5003f"/>
    <w:rsid w:val="00d53472"/>
    <w:rsid w:val="00d877a6"/>
    <w:rsid w:val="00e04c16"/>
    <w:rsid w:val="00e7054c"/>
    <w:rsid w:val="00f8308d"/>
    <w:rsid w:val="00fd297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10"/>
    <w:pPr>
      <w:autoSpaceDE w:val="off"/>
      <w:autoSpaceDN w:val="off"/>
      <w:outlineLvl w:val="0"/>
      <w:spacing w:after="108" w:before="108"/>
      <w:jc w:val="center"/>
    </w:pPr>
    <w:rPr>
      <w:b/>
      <w:bCs/>
      <w:lang w:val="en-US"/>
      <w:rFonts w:ascii="Arial" w:hAnsi="Arial"/>
      <w:color w:val="000080"/>
    </w:rPr>
  </w:style>
  <w:style w:type="paragraph" w:styleId="Heading2">
    <w:name w:val="Heading2"/>
    <w:basedOn w:val="Normal"/>
    <w:next w:val="Normal"/>
    <w:link w:val="StGen11"/>
    <w:pPr>
      <w:keepNext/>
      <w:outlineLvl w:val="1"/>
      <w:spacing w:after="60" w:before="240"/>
    </w:pPr>
    <w:rPr>
      <w:b/>
      <w:i/>
      <w:sz w:val="28"/>
      <w:bCs/>
      <w:iCs/>
      <w:szCs w:val="28"/>
      <w:lang w:val="en-US"/>
      <w:rFonts w:ascii="Arial" w:hAnsi="Arial"/>
    </w:rPr>
  </w:style>
  <w:style w:type="paragraph" w:styleId="Heading3">
    <w:name w:val="Heading3"/>
    <w:basedOn w:val="Normal"/>
    <w:next w:val="Normal"/>
    <w:link w:val="StGen12"/>
    <w:pPr>
      <w:keepNext/>
      <w:outlineLvl w:val="2"/>
      <w:spacing w:after="60" w:before="240"/>
    </w:pPr>
    <w:rPr>
      <w:b/>
      <w:sz w:val="26"/>
      <w:bCs/>
      <w:szCs w:val="26"/>
      <w:lang w:val="en-US"/>
      <w:rFonts w:ascii="Arial" w:hAnsi="Arial"/>
    </w:rPr>
  </w:style>
  <w:style w:type="paragraph" w:styleId="Heading8">
    <w:name w:val="Heading8"/>
    <w:basedOn w:val="Normal"/>
    <w:next w:val="Normal"/>
    <w:link w:val="StGen13"/>
    <w:pPr>
      <w:outlineLvl w:val="7"/>
      <w:spacing w:after="60" w:before="240"/>
    </w:pPr>
    <w:rPr>
      <w:i/>
      <w:sz w:val="24"/>
      <w:iCs/>
      <w:szCs w:val="24"/>
      <w:lang w:val="en-US"/>
    </w:rPr>
  </w:style>
  <w:style w:type="paragraph" w:styleId="Heading9">
    <w:name w:val="Heading9"/>
    <w:basedOn w:val="Normal"/>
    <w:next w:val="Normal"/>
    <w:link w:val="StGen14"/>
    <w:pPr>
      <w:outlineLvl w:val="8"/>
      <w:spacing w:after="60" w:before="240"/>
    </w:pPr>
    <w:rPr>
      <w:lang w:val="en-US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10">
    <w:name w:val="StGen10"/>
    <w:next w:val="StGen10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11">
    <w:name w:val="StGen11"/>
    <w:next w:val="StGen11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12">
    <w:name w:val="StGen12"/>
    <w:next w:val="StGen12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13">
    <w:name w:val="StGen13"/>
    <w:next w:val="StGen13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14">
    <w:name w:val="StGen14"/>
    <w:next w:val="StGen14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15"/>
    <w:pPr>
      <w:jc w:val="both"/>
    </w:pPr>
    <w:rPr>
      <w:sz w:val="24"/>
      <w:lang w:val="en-US"/>
    </w:rPr>
  </w:style>
  <w:style w:type="character" w:styleId="StGen15">
    <w:name w:val="StGen15"/>
    <w:next w:val="StGen15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16"/>
    <w:pPr>
      <w:jc w:val="center"/>
    </w:pPr>
    <w:rPr>
      <w:sz w:val="28"/>
      <w:lang w:val="en-US"/>
    </w:rPr>
  </w:style>
  <w:style w:type="character" w:styleId="StGen16">
    <w:name w:val="StGen16"/>
    <w:next w:val="StGen16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17"/>
    <w:semiHidden/>
    <w:rPr>
      <w:sz w:val="16"/>
      <w:szCs w:val="16"/>
      <w:lang w:val="en-US"/>
      <w:rFonts w:ascii="Tahoma" w:hAnsi="Tahoma"/>
    </w:rPr>
  </w:style>
  <w:style w:type="character" w:styleId="StGen17">
    <w:name w:val="StGen17"/>
    <w:next w:val="StGen1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18">
    <w:name w:val="StGen18"/>
    <w:next w:val="StGen18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19"/>
    <w:pPr>
      <w:ind w:left="283"/>
      <w:spacing w:after="120" w:line="480" w:lineRule="auto"/>
    </w:pPr>
    <w:rPr>
      <w:sz w:val="24"/>
      <w:szCs w:val="24"/>
      <w:lang w:val="en-US"/>
    </w:rPr>
  </w:style>
  <w:style w:type="character" w:styleId="StGen19">
    <w:name w:val="StGen19"/>
    <w:next w:val="StGen19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160" w:line="259" w:lineRule="auto"/>
    </w:pPr>
    <w:rPr>
      <w:sz w:val="22"/>
      <w:szCs w:val="22"/>
      <w:lang w:eastAsia="en-US"/>
      <w:rFonts w:ascii="Calibri" w:eastAsia="Calibri" w:hAnsi="Calibri"/>
    </w:rPr>
  </w:style>
  <w:style w:type="character" w:styleId="StGen1">
    <w:name w:val="StGen1"/>
    <w:next w:val="StGen1"/>
    <w:link w:val="Normal"/>
    <w:rPr>
      <w:b/>
      <w:color w:val="000080"/>
    </w:rPr>
  </w:style>
  <w:style w:type="paragraph" w:styleId="StGen31">
    <w:name w:val="StGen31"/>
    <w:next w:val="StGen31"/>
    <w:link w:val="Normal"/>
    <w:rPr>
      <w:lang w:bidi="ar-SA" w:eastAsia="ru-RU" w:val="ru-RU"/>
      <w:rFonts w:ascii="Times New Roman" w:eastAsia="Times New Roman" w:hAnsi="Times New Roman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StGen20"/>
    <w:pPr>
      <w:tabs>
        <w:tab w:leader="none" w:pos="4677" w:val="center"/>
        <w:tab w:leader="none" w:pos="9355" w:val="right"/>
      </w:tabs>
    </w:pPr>
  </w:style>
  <w:style w:type="character" w:styleId="StGen20">
    <w:name w:val="StGen20"/>
    <w:next w:val="StGen20"/>
    <w:link w:val="Header"/>
    <w:rPr>
      <w:rFonts w:ascii="Times New Roman" w:eastAsia="Times New Roman" w:hAnsi="Times New Roman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